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51" w:rsidRPr="007B5051" w:rsidRDefault="007B5051" w:rsidP="007602D6">
      <w:pPr>
        <w:spacing w:after="0"/>
        <w:rPr>
          <w:sz w:val="24"/>
          <w:szCs w:val="24"/>
        </w:rPr>
      </w:pPr>
      <w:bookmarkStart w:id="0" w:name="_GoBack"/>
      <w:bookmarkEnd w:id="0"/>
    </w:p>
    <w:p w:rsidR="007B5051" w:rsidRDefault="007A29C5" w:rsidP="00DA2CAB">
      <w:pPr>
        <w:spacing w:after="0" w:line="240" w:lineRule="auto"/>
        <w:jc w:val="center"/>
        <w:rPr>
          <w:b/>
          <w:sz w:val="24"/>
          <w:szCs w:val="24"/>
        </w:rPr>
      </w:pPr>
      <w:r>
        <w:rPr>
          <w:b/>
          <w:sz w:val="24"/>
          <w:szCs w:val="24"/>
        </w:rPr>
        <w:t>ADDITIONAL PROVISIONS FOR</w:t>
      </w:r>
      <w:r w:rsidR="00004933" w:rsidRPr="00004933">
        <w:rPr>
          <w:b/>
          <w:sz w:val="24"/>
          <w:szCs w:val="24"/>
        </w:rPr>
        <w:t xml:space="preserve"> ORDERS ISSUED PURSU</w:t>
      </w:r>
      <w:r w:rsidR="00683300">
        <w:rPr>
          <w:b/>
          <w:sz w:val="24"/>
          <w:szCs w:val="24"/>
        </w:rPr>
        <w:t xml:space="preserve">ANT TO THE </w:t>
      </w:r>
      <w:r w:rsidR="00DB1C3E">
        <w:rPr>
          <w:b/>
          <w:sz w:val="24"/>
          <w:szCs w:val="24"/>
        </w:rPr>
        <w:br/>
        <w:t>DDG 117-12</w:t>
      </w:r>
      <w:r w:rsidR="00F010D9">
        <w:rPr>
          <w:b/>
          <w:sz w:val="24"/>
          <w:szCs w:val="24"/>
        </w:rPr>
        <w:t>5</w:t>
      </w:r>
      <w:r w:rsidR="00DB1C3E">
        <w:rPr>
          <w:b/>
          <w:sz w:val="24"/>
          <w:szCs w:val="24"/>
        </w:rPr>
        <w:t xml:space="preserve"> DETAIL DESIGN AND CONSTRUCTION PRIME</w:t>
      </w:r>
      <w:r w:rsidR="00004933" w:rsidRPr="00004933">
        <w:rPr>
          <w:b/>
          <w:sz w:val="24"/>
          <w:szCs w:val="24"/>
        </w:rPr>
        <w:t xml:space="preserve"> CONTRACT NO. N00024-</w:t>
      </w:r>
      <w:r w:rsidR="0061679C">
        <w:rPr>
          <w:b/>
          <w:sz w:val="24"/>
          <w:szCs w:val="24"/>
        </w:rPr>
        <w:t>1</w:t>
      </w:r>
      <w:r w:rsidR="00DB1C3E">
        <w:rPr>
          <w:b/>
          <w:sz w:val="24"/>
          <w:szCs w:val="24"/>
        </w:rPr>
        <w:t>3</w:t>
      </w:r>
      <w:r w:rsidR="00004933" w:rsidRPr="00004933">
        <w:rPr>
          <w:b/>
          <w:sz w:val="24"/>
          <w:szCs w:val="24"/>
        </w:rPr>
        <w:t>-C-</w:t>
      </w:r>
      <w:r w:rsidR="0044609A">
        <w:rPr>
          <w:b/>
          <w:sz w:val="24"/>
          <w:szCs w:val="24"/>
        </w:rPr>
        <w:t>2307</w:t>
      </w:r>
    </w:p>
    <w:p w:rsidR="00504908" w:rsidRPr="00504908" w:rsidRDefault="00504908" w:rsidP="00504908">
      <w:pPr>
        <w:spacing w:after="0" w:line="240" w:lineRule="auto"/>
        <w:rPr>
          <w:sz w:val="16"/>
          <w:szCs w:val="16"/>
        </w:rPr>
      </w:pPr>
    </w:p>
    <w:p w:rsidR="007B5051" w:rsidRDefault="00004933" w:rsidP="00DA2CAB">
      <w:pPr>
        <w:spacing w:after="0"/>
        <w:jc w:val="center"/>
        <w:rPr>
          <w:b/>
          <w:sz w:val="24"/>
          <w:szCs w:val="24"/>
        </w:rPr>
      </w:pPr>
      <w:r>
        <w:rPr>
          <w:b/>
          <w:sz w:val="24"/>
          <w:szCs w:val="24"/>
        </w:rPr>
        <w:t>INGALLS</w:t>
      </w:r>
      <w:r w:rsidR="007A29C5" w:rsidRPr="00264472">
        <w:rPr>
          <w:b/>
          <w:sz w:val="24"/>
          <w:szCs w:val="24"/>
        </w:rPr>
        <w:t xml:space="preserve"> </w:t>
      </w:r>
      <w:r w:rsidR="001753DF">
        <w:rPr>
          <w:b/>
          <w:sz w:val="24"/>
          <w:szCs w:val="24"/>
        </w:rPr>
        <w:t>SHIPBUILDING DIVISION</w:t>
      </w:r>
      <w:r w:rsidR="007A29C5" w:rsidRPr="00264472">
        <w:rPr>
          <w:b/>
          <w:sz w:val="24"/>
          <w:szCs w:val="24"/>
        </w:rPr>
        <w:t xml:space="preserve"> SUPPLEMENT</w:t>
      </w:r>
    </w:p>
    <w:p w:rsidR="00504908" w:rsidRPr="00504908" w:rsidRDefault="00504908" w:rsidP="00504908">
      <w:pPr>
        <w:spacing w:after="0"/>
        <w:rPr>
          <w:i/>
          <w:sz w:val="16"/>
          <w:szCs w:val="16"/>
        </w:rPr>
      </w:pPr>
    </w:p>
    <w:p w:rsidR="007B5051" w:rsidRDefault="007602D6" w:rsidP="00DA2CAB">
      <w:pPr>
        <w:spacing w:after="120" w:line="240" w:lineRule="auto"/>
        <w:jc w:val="center"/>
        <w:rPr>
          <w:b/>
          <w:i/>
          <w:sz w:val="20"/>
          <w:szCs w:val="24"/>
        </w:rPr>
      </w:pPr>
      <w:r w:rsidRPr="00DA2CAB">
        <w:rPr>
          <w:b/>
          <w:i/>
          <w:sz w:val="20"/>
          <w:szCs w:val="24"/>
        </w:rPr>
        <w:t xml:space="preserve">(This document is to be used in conjunction with </w:t>
      </w:r>
      <w:r w:rsidR="00AC2155" w:rsidRPr="00DA2CAB">
        <w:rPr>
          <w:b/>
          <w:i/>
          <w:sz w:val="20"/>
          <w:szCs w:val="24"/>
        </w:rPr>
        <w:t xml:space="preserve">Huntington Ingalls </w:t>
      </w:r>
      <w:r w:rsidR="00A37C75" w:rsidRPr="00DA2CAB">
        <w:rPr>
          <w:b/>
          <w:i/>
          <w:sz w:val="20"/>
          <w:szCs w:val="24"/>
        </w:rPr>
        <w:t>Incorporated</w:t>
      </w:r>
      <w:r w:rsidRPr="00DA2CAB">
        <w:rPr>
          <w:b/>
          <w:i/>
          <w:sz w:val="20"/>
          <w:szCs w:val="24"/>
        </w:rPr>
        <w:t xml:space="preserve"> </w:t>
      </w:r>
      <w:r w:rsidR="00004933" w:rsidRPr="00DA2CAB">
        <w:rPr>
          <w:b/>
          <w:i/>
          <w:sz w:val="20"/>
          <w:szCs w:val="24"/>
        </w:rPr>
        <w:t xml:space="preserve">form SBF P9328, </w:t>
      </w:r>
      <w:r w:rsidRPr="00DA2CAB">
        <w:rPr>
          <w:b/>
          <w:i/>
          <w:sz w:val="20"/>
          <w:szCs w:val="24"/>
        </w:rPr>
        <w:t xml:space="preserve">GENERAL PROVISIONS </w:t>
      </w:r>
      <w:r w:rsidR="00A94D03" w:rsidRPr="00DA2CAB">
        <w:rPr>
          <w:b/>
          <w:i/>
          <w:sz w:val="20"/>
          <w:szCs w:val="24"/>
        </w:rPr>
        <w:t xml:space="preserve">FOR </w:t>
      </w:r>
      <w:r w:rsidR="00504908" w:rsidRPr="00DA2CAB">
        <w:rPr>
          <w:b/>
          <w:i/>
          <w:sz w:val="20"/>
          <w:szCs w:val="24"/>
        </w:rPr>
        <w:t xml:space="preserve">ORDERS </w:t>
      </w:r>
      <w:r w:rsidRPr="00DA2CAB">
        <w:rPr>
          <w:b/>
          <w:i/>
          <w:sz w:val="20"/>
          <w:szCs w:val="24"/>
        </w:rPr>
        <w:t>UNDER U</w:t>
      </w:r>
      <w:r w:rsidR="00504908" w:rsidRPr="00DA2CAB">
        <w:rPr>
          <w:b/>
          <w:i/>
          <w:sz w:val="20"/>
          <w:szCs w:val="24"/>
        </w:rPr>
        <w:t>.</w:t>
      </w:r>
      <w:r w:rsidRPr="00DA2CAB">
        <w:rPr>
          <w:b/>
          <w:i/>
          <w:sz w:val="20"/>
          <w:szCs w:val="24"/>
        </w:rPr>
        <w:t>S</w:t>
      </w:r>
      <w:r w:rsidR="00504908" w:rsidRPr="00DA2CAB">
        <w:rPr>
          <w:b/>
          <w:i/>
          <w:sz w:val="20"/>
          <w:szCs w:val="24"/>
        </w:rPr>
        <w:t>.</w:t>
      </w:r>
      <w:r w:rsidRPr="00DA2CAB">
        <w:rPr>
          <w:b/>
          <w:i/>
          <w:sz w:val="20"/>
          <w:szCs w:val="24"/>
        </w:rPr>
        <w:t xml:space="preserve"> GOVERNMENT CONTRACTS</w:t>
      </w:r>
      <w:r w:rsidR="0044609A">
        <w:rPr>
          <w:b/>
          <w:i/>
          <w:sz w:val="20"/>
          <w:szCs w:val="24"/>
        </w:rPr>
        <w:t>,</w:t>
      </w:r>
      <w:r w:rsidRPr="00DA2CAB">
        <w:rPr>
          <w:b/>
          <w:i/>
          <w:sz w:val="20"/>
          <w:szCs w:val="24"/>
        </w:rPr>
        <w:t xml:space="preserve"> for </w:t>
      </w:r>
      <w:r w:rsidR="00C074CA" w:rsidRPr="00DA2CAB">
        <w:rPr>
          <w:b/>
          <w:i/>
          <w:sz w:val="20"/>
          <w:szCs w:val="24"/>
        </w:rPr>
        <w:t>Order</w:t>
      </w:r>
      <w:r w:rsidR="00A94D03" w:rsidRPr="00DA2CAB">
        <w:rPr>
          <w:b/>
          <w:i/>
          <w:sz w:val="20"/>
          <w:szCs w:val="24"/>
        </w:rPr>
        <w:t xml:space="preserve">s issued by the </w:t>
      </w:r>
      <w:r w:rsidR="00004933" w:rsidRPr="00DA2CAB">
        <w:rPr>
          <w:b/>
          <w:i/>
          <w:sz w:val="20"/>
          <w:szCs w:val="24"/>
        </w:rPr>
        <w:t>Ingalls</w:t>
      </w:r>
      <w:r w:rsidR="00A94D03" w:rsidRPr="00DA2CAB">
        <w:rPr>
          <w:b/>
          <w:i/>
          <w:sz w:val="20"/>
          <w:szCs w:val="24"/>
        </w:rPr>
        <w:t xml:space="preserve"> </w:t>
      </w:r>
      <w:r w:rsidR="001753DF" w:rsidRPr="00DA2CAB">
        <w:rPr>
          <w:b/>
          <w:i/>
          <w:sz w:val="20"/>
          <w:szCs w:val="24"/>
        </w:rPr>
        <w:t>Shipbuilding</w:t>
      </w:r>
      <w:r w:rsidR="00004933" w:rsidRPr="00DA2CAB">
        <w:rPr>
          <w:b/>
          <w:i/>
          <w:sz w:val="20"/>
          <w:szCs w:val="24"/>
        </w:rPr>
        <w:t xml:space="preserve"> d</w:t>
      </w:r>
      <w:r w:rsidR="001753DF" w:rsidRPr="00DA2CAB">
        <w:rPr>
          <w:b/>
          <w:i/>
          <w:sz w:val="20"/>
          <w:szCs w:val="24"/>
        </w:rPr>
        <w:t>ivision</w:t>
      </w:r>
      <w:r w:rsidRPr="00DA2CAB">
        <w:rPr>
          <w:b/>
          <w:i/>
          <w:sz w:val="20"/>
          <w:szCs w:val="24"/>
        </w:rPr>
        <w:t>.)</w:t>
      </w:r>
    </w:p>
    <w:p w:rsidR="00F968D4" w:rsidRPr="00DA2CAB" w:rsidRDefault="00F968D4" w:rsidP="00F968D4">
      <w:pPr>
        <w:spacing w:after="0" w:line="240" w:lineRule="auto"/>
        <w:rPr>
          <w:i/>
          <w:sz w:val="20"/>
          <w:szCs w:val="24"/>
        </w:rPr>
      </w:pPr>
    </w:p>
    <w:p w:rsidR="00044D1C" w:rsidRDefault="00A94D03" w:rsidP="00F968D4">
      <w:pPr>
        <w:spacing w:after="0"/>
        <w:rPr>
          <w:b/>
          <w:sz w:val="24"/>
          <w:szCs w:val="24"/>
        </w:rPr>
      </w:pPr>
      <w:r>
        <w:rPr>
          <w:b/>
          <w:sz w:val="24"/>
          <w:szCs w:val="24"/>
        </w:rPr>
        <w:t>PROVISION</w:t>
      </w:r>
      <w:r w:rsidR="007A29C5">
        <w:rPr>
          <w:b/>
          <w:sz w:val="24"/>
          <w:szCs w:val="24"/>
        </w:rPr>
        <w:t xml:space="preserve"> NUMBER AND HEADING</w:t>
      </w:r>
    </w:p>
    <w:tbl>
      <w:tblPr>
        <w:tblW w:w="10921" w:type="dxa"/>
        <w:tblInd w:w="95" w:type="dxa"/>
        <w:tblLook w:val="04A0" w:firstRow="1" w:lastRow="0" w:firstColumn="1" w:lastColumn="0" w:noHBand="0" w:noVBand="1"/>
      </w:tblPr>
      <w:tblGrid>
        <w:gridCol w:w="733"/>
        <w:gridCol w:w="10188"/>
      </w:tblGrid>
      <w:tr w:rsidR="00504908" w:rsidRPr="002652DD" w:rsidTr="00594826">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2</w:t>
            </w:r>
          </w:p>
        </w:tc>
        <w:tc>
          <w:tcPr>
            <w:tcW w:w="10188" w:type="dxa"/>
            <w:tcBorders>
              <w:top w:val="single" w:sz="4" w:space="0" w:color="auto"/>
              <w:left w:val="nil"/>
              <w:bottom w:val="single" w:sz="4" w:space="0" w:color="auto"/>
              <w:right w:val="single" w:sz="4" w:space="0" w:color="auto"/>
            </w:tcBorders>
            <w:shd w:val="clear" w:color="auto" w:fill="auto"/>
            <w:noWrap/>
            <w:vAlign w:val="bottom"/>
            <w:hideMark/>
          </w:tcPr>
          <w:p w:rsidR="00504908" w:rsidRPr="002652DD" w:rsidRDefault="00B0411F" w:rsidP="007B12D9">
            <w:pPr>
              <w:spacing w:after="0" w:line="240" w:lineRule="auto"/>
              <w:rPr>
                <w:rFonts w:ascii="Calibri" w:eastAsia="Times New Roman" w:hAnsi="Calibri" w:cs="Times New Roman"/>
                <w:color w:val="000000"/>
              </w:rPr>
            </w:pPr>
            <w:hyperlink w:anchor="Access_to_Prop_Data_Computer_Software" w:history="1">
              <w:r w:rsidR="00A425E3" w:rsidRPr="002652DD">
                <w:rPr>
                  <w:rStyle w:val="Hyperlink"/>
                  <w:b/>
                  <w:caps/>
                </w:rPr>
                <w:t>ACCESS TO PROPRIETARY DATA OR COMPUTER SOFTWARE</w:t>
              </w:r>
            </w:hyperlink>
          </w:p>
        </w:tc>
      </w:tr>
      <w:tr w:rsidR="00504908"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3</w:t>
            </w:r>
          </w:p>
        </w:tc>
        <w:tc>
          <w:tcPr>
            <w:tcW w:w="10188" w:type="dxa"/>
            <w:tcBorders>
              <w:top w:val="nil"/>
              <w:left w:val="nil"/>
              <w:bottom w:val="single" w:sz="4" w:space="0" w:color="auto"/>
              <w:right w:val="single" w:sz="4" w:space="0" w:color="auto"/>
            </w:tcBorders>
            <w:shd w:val="clear" w:color="auto" w:fill="auto"/>
            <w:noWrap/>
            <w:vAlign w:val="bottom"/>
            <w:hideMark/>
          </w:tcPr>
          <w:p w:rsidR="00504908" w:rsidRPr="002652DD" w:rsidRDefault="00B0411F" w:rsidP="007B12D9">
            <w:pPr>
              <w:spacing w:after="0" w:line="240" w:lineRule="auto"/>
              <w:rPr>
                <w:rFonts w:ascii="Calibri" w:eastAsia="Times New Roman" w:hAnsi="Calibri" w:cs="Times New Roman"/>
                <w:color w:val="000000"/>
              </w:rPr>
            </w:pPr>
            <w:hyperlink w:anchor="Access_to_Vessels_by_Non_US" w:history="1">
              <w:r w:rsidR="00A425E3" w:rsidRPr="002652DD">
                <w:rPr>
                  <w:rStyle w:val="Hyperlink"/>
                  <w:b/>
                </w:rPr>
                <w:t>ACCESS TO VESSELS BY NON-U.S. CITIZENS</w:t>
              </w:r>
            </w:hyperlink>
          </w:p>
        </w:tc>
      </w:tr>
      <w:tr w:rsidR="00504908"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4</w:t>
            </w:r>
          </w:p>
        </w:tc>
        <w:tc>
          <w:tcPr>
            <w:tcW w:w="10188" w:type="dxa"/>
            <w:tcBorders>
              <w:top w:val="nil"/>
              <w:left w:val="nil"/>
              <w:bottom w:val="single" w:sz="4" w:space="0" w:color="auto"/>
              <w:right w:val="single" w:sz="4" w:space="0" w:color="auto"/>
            </w:tcBorders>
            <w:shd w:val="clear" w:color="auto" w:fill="auto"/>
            <w:noWrap/>
            <w:vAlign w:val="bottom"/>
            <w:hideMark/>
          </w:tcPr>
          <w:p w:rsidR="00504908" w:rsidRPr="002652DD" w:rsidRDefault="00B0411F" w:rsidP="007B12D9">
            <w:pPr>
              <w:spacing w:after="0" w:line="240" w:lineRule="auto"/>
              <w:rPr>
                <w:rFonts w:ascii="Calibri" w:eastAsia="Times New Roman" w:hAnsi="Calibri" w:cs="Times New Roman"/>
                <w:color w:val="000000"/>
              </w:rPr>
            </w:pPr>
            <w:hyperlink w:anchor="Assignment_and_Use_of_Stock_Numbers" w:history="1">
              <w:r w:rsidR="00A425E3" w:rsidRPr="002652DD">
                <w:rPr>
                  <w:rStyle w:val="Hyperlink"/>
                  <w:b/>
                </w:rPr>
                <w:t>ASSIGNMENT AND USE OF STOCK NUMBERS</w:t>
              </w:r>
            </w:hyperlink>
          </w:p>
        </w:tc>
      </w:tr>
      <w:tr w:rsidR="00504908"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D95EC2" w:rsidP="00C13500">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C13500" w:rsidRPr="002652DD">
              <w:rPr>
                <w:rFonts w:ascii="Calibri" w:eastAsia="Times New Roman" w:hAnsi="Calibri" w:cs="Times New Roman"/>
                <w:color w:val="000000"/>
              </w:rPr>
              <w:t>0</w:t>
            </w:r>
          </w:p>
        </w:tc>
        <w:tc>
          <w:tcPr>
            <w:tcW w:w="10188" w:type="dxa"/>
            <w:tcBorders>
              <w:top w:val="nil"/>
              <w:left w:val="nil"/>
              <w:bottom w:val="single" w:sz="4" w:space="0" w:color="auto"/>
              <w:right w:val="single" w:sz="4" w:space="0" w:color="auto"/>
            </w:tcBorders>
            <w:shd w:val="clear" w:color="auto" w:fill="auto"/>
            <w:noWrap/>
            <w:vAlign w:val="bottom"/>
            <w:hideMark/>
          </w:tcPr>
          <w:p w:rsidR="00504908" w:rsidRPr="002652DD" w:rsidRDefault="00B0411F" w:rsidP="00692EA1">
            <w:pPr>
              <w:spacing w:after="0" w:line="240" w:lineRule="auto"/>
            </w:pPr>
            <w:hyperlink w:anchor="Calibration_System_Reqs" w:history="1">
              <w:r w:rsidR="00AD0F5B" w:rsidRPr="002652DD">
                <w:rPr>
                  <w:rStyle w:val="Hyperlink"/>
                  <w:b/>
                </w:rPr>
                <w:t>CALIBRATION SYSTEM REQUIREMENTS</w:t>
              </w:r>
            </w:hyperlink>
          </w:p>
        </w:tc>
      </w:tr>
      <w:tr w:rsidR="00C87F7C"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14</w:t>
            </w:r>
          </w:p>
        </w:tc>
        <w:tc>
          <w:tcPr>
            <w:tcW w:w="10188" w:type="dxa"/>
            <w:tcBorders>
              <w:top w:val="nil"/>
              <w:left w:val="nil"/>
              <w:bottom w:val="single" w:sz="4" w:space="0" w:color="auto"/>
              <w:right w:val="single" w:sz="4" w:space="0" w:color="auto"/>
            </w:tcBorders>
            <w:shd w:val="clear" w:color="auto" w:fill="auto"/>
            <w:noWrap/>
            <w:vAlign w:val="bottom"/>
            <w:hideMark/>
          </w:tcPr>
          <w:p w:rsidR="00C87F7C" w:rsidRPr="002652DD" w:rsidRDefault="00B0411F" w:rsidP="00C87F7C">
            <w:pPr>
              <w:spacing w:after="0" w:line="220" w:lineRule="exact"/>
              <w:jc w:val="both"/>
            </w:pPr>
            <w:hyperlink w:anchor="Cost_of_Quality_Data" w:history="1">
              <w:r w:rsidR="00C87F7C" w:rsidRPr="002652DD">
                <w:rPr>
                  <w:rStyle w:val="Hyperlink"/>
                  <w:b/>
                </w:rPr>
                <w:t>COST OF QUALITY DATA</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5</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07755A">
            <w:pPr>
              <w:spacing w:after="0" w:line="240" w:lineRule="auto"/>
              <w:rPr>
                <w:rFonts w:ascii="Calibri" w:eastAsia="Times New Roman" w:hAnsi="Calibri" w:cs="Times New Roman"/>
                <w:color w:val="000000"/>
              </w:rPr>
            </w:pPr>
            <w:hyperlink w:anchor="Dept_of_Labor_OSHA_Standards" w:history="1">
              <w:r w:rsidR="00AD0F5B" w:rsidRPr="002652DD">
                <w:rPr>
                  <w:rStyle w:val="Hyperlink"/>
                  <w:b/>
                </w:rPr>
                <w:t xml:space="preserve">DEPARTMENT OF LABOR OCCUPATIONAL SAFETY AND HEALTH </w:t>
              </w:r>
              <w:r w:rsidR="0007755A" w:rsidRPr="002652DD">
                <w:rPr>
                  <w:rStyle w:val="Hyperlink"/>
                  <w:b/>
                </w:rPr>
                <w:t>STANDARDS FOR SHIPBUILDING</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6</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22876">
            <w:pPr>
              <w:spacing w:after="0" w:line="240" w:lineRule="auto"/>
              <w:rPr>
                <w:rFonts w:ascii="Calibri" w:eastAsia="Times New Roman" w:hAnsi="Calibri" w:cs="Times New Roman"/>
                <w:color w:val="000000"/>
              </w:rPr>
            </w:pPr>
            <w:hyperlink w:anchor="Extension_of_Commercial_Warranty" w:history="1">
              <w:r w:rsidR="00AD0F5B" w:rsidRPr="002652DD">
                <w:rPr>
                  <w:rStyle w:val="Hyperlink"/>
                  <w:b/>
                </w:rPr>
                <w:t>EXTENSION OF COMMERCIAL WARRANTY</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AD0F5B" w:rsidP="00AA7696">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AA7696" w:rsidRPr="002652DD">
              <w:rPr>
                <w:rFonts w:ascii="Calibri" w:eastAsia="Times New Roman" w:hAnsi="Calibri" w:cs="Times New Roman"/>
                <w:color w:val="000000"/>
              </w:rPr>
              <w:t>8</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07755A">
            <w:pPr>
              <w:spacing w:after="0" w:line="240" w:lineRule="auto"/>
              <w:rPr>
                <w:rFonts w:ascii="Calibri" w:eastAsia="Times New Roman" w:hAnsi="Calibri" w:cs="Times New Roman"/>
                <w:color w:val="000000"/>
              </w:rPr>
            </w:pPr>
            <w:hyperlink w:anchor="FARS_DFARS" w:history="1">
              <w:r w:rsidR="00AD0F5B" w:rsidRPr="002652DD">
                <w:rPr>
                  <w:rStyle w:val="Hyperlink"/>
                  <w:b/>
                </w:rPr>
                <w:t xml:space="preserve">FAR/DFARS - PROVISIONS INCORPORATED BY REFERENCE </w:t>
              </w:r>
            </w:hyperlink>
            <w:r w:rsidR="00AD0F5B" w:rsidRPr="002652DD">
              <w:rPr>
                <w:b/>
              </w:rPr>
              <w:t xml:space="preserve"> </w:t>
            </w:r>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07755A"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8</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B12D9">
            <w:pPr>
              <w:spacing w:after="0" w:line="240" w:lineRule="auto"/>
              <w:rPr>
                <w:rFonts w:ascii="Calibri" w:eastAsia="Times New Roman" w:hAnsi="Calibri" w:cs="Times New Roman"/>
                <w:color w:val="000000"/>
              </w:rPr>
            </w:pPr>
            <w:hyperlink w:anchor="Identification_Marking_of_Parts" w:history="1">
              <w:r w:rsidR="00AD0F5B" w:rsidRPr="002652DD">
                <w:rPr>
                  <w:rStyle w:val="Hyperlink"/>
                  <w:b/>
                </w:rPr>
                <w:t>IDENTIFICATION MARKING OF PARTS</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D95EC2"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07755A" w:rsidRPr="002652DD">
              <w:rPr>
                <w:rFonts w:ascii="Calibri" w:eastAsia="Times New Roman" w:hAnsi="Calibri" w:cs="Times New Roman"/>
                <w:color w:val="000000"/>
              </w:rPr>
              <w:t>1</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B12D9">
            <w:pPr>
              <w:spacing w:after="0" w:line="240" w:lineRule="auto"/>
              <w:rPr>
                <w:rFonts w:ascii="Calibri" w:eastAsia="Times New Roman" w:hAnsi="Calibri" w:cs="Times New Roman"/>
                <w:color w:val="000000"/>
              </w:rPr>
            </w:pPr>
            <w:hyperlink w:anchor="Inspection_and_Test_Records" w:history="1">
              <w:r w:rsidR="00AD0F5B" w:rsidRPr="002652DD">
                <w:rPr>
                  <w:rStyle w:val="Hyperlink"/>
                  <w:b/>
                </w:rPr>
                <w:t>INSPECTION AND TEST RECORDS</w:t>
              </w:r>
            </w:hyperlink>
          </w:p>
        </w:tc>
      </w:tr>
      <w:tr w:rsidR="00E921A6"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921A6" w:rsidRPr="002652DD" w:rsidRDefault="00E921A6"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12</w:t>
            </w:r>
          </w:p>
        </w:tc>
        <w:tc>
          <w:tcPr>
            <w:tcW w:w="10188" w:type="dxa"/>
            <w:tcBorders>
              <w:top w:val="nil"/>
              <w:left w:val="nil"/>
              <w:bottom w:val="single" w:sz="4" w:space="0" w:color="auto"/>
              <w:right w:val="single" w:sz="4" w:space="0" w:color="auto"/>
            </w:tcBorders>
            <w:shd w:val="clear" w:color="auto" w:fill="auto"/>
            <w:noWrap/>
            <w:vAlign w:val="bottom"/>
            <w:hideMark/>
          </w:tcPr>
          <w:p w:rsidR="00E921A6" w:rsidRPr="002652DD" w:rsidRDefault="00B0411F" w:rsidP="00722876">
            <w:pPr>
              <w:spacing w:after="0" w:line="240" w:lineRule="auto"/>
              <w:rPr>
                <w:b/>
              </w:rPr>
            </w:pPr>
            <w:hyperlink w:anchor="Liaison_Personnel" w:history="1">
              <w:r w:rsidR="00E921A6" w:rsidRPr="002652DD">
                <w:rPr>
                  <w:rStyle w:val="Hyperlink"/>
                  <w:b/>
                </w:rPr>
                <w:t>LIAISON PERSONNEL</w:t>
              </w:r>
            </w:hyperlink>
          </w:p>
        </w:tc>
      </w:tr>
      <w:tr w:rsidR="00C87F7C"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15</w:t>
            </w:r>
          </w:p>
        </w:tc>
        <w:tc>
          <w:tcPr>
            <w:tcW w:w="10188" w:type="dxa"/>
            <w:tcBorders>
              <w:top w:val="nil"/>
              <w:left w:val="nil"/>
              <w:bottom w:val="single" w:sz="4" w:space="0" w:color="auto"/>
              <w:right w:val="single" w:sz="4" w:space="0" w:color="auto"/>
            </w:tcBorders>
            <w:shd w:val="clear" w:color="auto" w:fill="auto"/>
            <w:noWrap/>
            <w:vAlign w:val="bottom"/>
            <w:hideMark/>
          </w:tcPr>
          <w:p w:rsidR="00C87F7C" w:rsidRPr="002652DD" w:rsidRDefault="00B0411F" w:rsidP="00C87F7C">
            <w:pPr>
              <w:spacing w:after="0" w:line="220" w:lineRule="exact"/>
              <w:jc w:val="both"/>
            </w:pPr>
            <w:hyperlink w:anchor="Logistic_Support_Requirement" w:history="1">
              <w:r w:rsidR="00C87F7C" w:rsidRPr="002652DD">
                <w:rPr>
                  <w:rStyle w:val="Hyperlink"/>
                  <w:b/>
                </w:rPr>
                <w:t>LOGISTIC SUPPORT REQUIREMENT</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07755A"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9</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22876">
            <w:pPr>
              <w:spacing w:after="0" w:line="240" w:lineRule="auto"/>
              <w:rPr>
                <w:rFonts w:ascii="Calibri" w:eastAsia="Times New Roman" w:hAnsi="Calibri" w:cs="Times New Roman"/>
                <w:color w:val="000000"/>
              </w:rPr>
            </w:pPr>
            <w:hyperlink w:anchor="Marking_and_Packing_Lists" w:history="1">
              <w:r w:rsidR="00AD0F5B" w:rsidRPr="002652DD">
                <w:rPr>
                  <w:rStyle w:val="Hyperlink"/>
                  <w:b/>
                </w:rPr>
                <w:t>MARKING AND PACKING LIST(S)</w:t>
              </w:r>
            </w:hyperlink>
          </w:p>
        </w:tc>
      </w:tr>
      <w:tr w:rsidR="00C87F7C"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16</w:t>
            </w:r>
          </w:p>
        </w:tc>
        <w:tc>
          <w:tcPr>
            <w:tcW w:w="10188" w:type="dxa"/>
            <w:tcBorders>
              <w:top w:val="nil"/>
              <w:left w:val="nil"/>
              <w:bottom w:val="single" w:sz="4" w:space="0" w:color="auto"/>
              <w:right w:val="single" w:sz="4" w:space="0" w:color="auto"/>
            </w:tcBorders>
            <w:shd w:val="clear" w:color="auto" w:fill="auto"/>
            <w:noWrap/>
            <w:vAlign w:val="bottom"/>
            <w:hideMark/>
          </w:tcPr>
          <w:p w:rsidR="00C87F7C" w:rsidRPr="002652DD" w:rsidRDefault="00B0411F" w:rsidP="00C87F7C">
            <w:pPr>
              <w:spacing w:after="0" w:line="220" w:lineRule="exact"/>
              <w:jc w:val="both"/>
            </w:pPr>
            <w:hyperlink w:anchor="Optional_Termination_and_Suspension" w:history="1">
              <w:r w:rsidR="00C87F7C" w:rsidRPr="002652DD">
                <w:rPr>
                  <w:rStyle w:val="Hyperlink"/>
                  <w:b/>
                </w:rPr>
                <w:t>OPTIONAL TERMINATION AND SUSPENSION</w:t>
              </w:r>
            </w:hyperlink>
          </w:p>
        </w:tc>
      </w:tr>
      <w:tr w:rsidR="00C87F7C"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17</w:t>
            </w:r>
          </w:p>
        </w:tc>
        <w:tc>
          <w:tcPr>
            <w:tcW w:w="10188" w:type="dxa"/>
            <w:tcBorders>
              <w:top w:val="nil"/>
              <w:left w:val="nil"/>
              <w:bottom w:val="single" w:sz="4" w:space="0" w:color="auto"/>
              <w:right w:val="single" w:sz="4" w:space="0" w:color="auto"/>
            </w:tcBorders>
            <w:shd w:val="clear" w:color="auto" w:fill="auto"/>
            <w:noWrap/>
            <w:vAlign w:val="bottom"/>
            <w:hideMark/>
          </w:tcPr>
          <w:p w:rsidR="00C87F7C" w:rsidRPr="002652DD" w:rsidRDefault="00B0411F" w:rsidP="00722876">
            <w:pPr>
              <w:spacing w:after="0" w:line="240" w:lineRule="auto"/>
            </w:pPr>
            <w:hyperlink w:anchor="Permits_and_Responsibilities" w:history="1">
              <w:r w:rsidR="00AA7696" w:rsidRPr="002652DD">
                <w:rPr>
                  <w:rStyle w:val="Hyperlink"/>
                  <w:b/>
                </w:rPr>
                <w:t>PERMITS AND RESPONSIBILITIES</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7</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22876">
            <w:pPr>
              <w:spacing w:after="0" w:line="240" w:lineRule="auto"/>
              <w:rPr>
                <w:rFonts w:ascii="Calibri" w:eastAsia="Times New Roman" w:hAnsi="Calibri" w:cs="Times New Roman"/>
                <w:color w:val="000000"/>
              </w:rPr>
            </w:pPr>
            <w:hyperlink w:anchor="Printing_of_Tech_Manuals_Publications" w:history="1">
              <w:r w:rsidR="00AD0F5B" w:rsidRPr="002652DD">
                <w:rPr>
                  <w:rStyle w:val="Hyperlink"/>
                  <w:b/>
                </w:rPr>
                <w:t>PRINTING OF TECHNICAL MANUALS, PUBLICATIONS, CHANGES, REVISIONS AND AMENDMENTS</w:t>
              </w:r>
            </w:hyperlink>
          </w:p>
        </w:tc>
      </w:tr>
      <w:tr w:rsidR="00E921A6"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921A6" w:rsidRPr="002652DD" w:rsidRDefault="00E921A6"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13</w:t>
            </w:r>
          </w:p>
        </w:tc>
        <w:tc>
          <w:tcPr>
            <w:tcW w:w="10188" w:type="dxa"/>
            <w:tcBorders>
              <w:top w:val="nil"/>
              <w:left w:val="nil"/>
              <w:bottom w:val="single" w:sz="4" w:space="0" w:color="auto"/>
              <w:right w:val="single" w:sz="4" w:space="0" w:color="auto"/>
            </w:tcBorders>
            <w:shd w:val="clear" w:color="auto" w:fill="auto"/>
            <w:noWrap/>
            <w:vAlign w:val="bottom"/>
            <w:hideMark/>
          </w:tcPr>
          <w:p w:rsidR="00E921A6" w:rsidRPr="002652DD" w:rsidRDefault="00B0411F" w:rsidP="00E921A6">
            <w:pPr>
              <w:spacing w:after="0" w:line="220" w:lineRule="exact"/>
              <w:jc w:val="both"/>
            </w:pPr>
            <w:hyperlink w:anchor="Qualification_of_Seller_Nonde_Test" w:history="1">
              <w:r w:rsidR="00E921A6" w:rsidRPr="002652DD">
                <w:rPr>
                  <w:rStyle w:val="Hyperlink"/>
                  <w:b/>
                </w:rPr>
                <w:t>QUALIFICATION OF SELLER NONDESTRUCTIVE TESTING (NDT) PERSONNEL</w:t>
              </w:r>
            </w:hyperlink>
          </w:p>
        </w:tc>
      </w:tr>
      <w:tr w:rsidR="00AD0F5B" w:rsidRPr="002652DD" w:rsidTr="00594826">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p>
        </w:tc>
        <w:tc>
          <w:tcPr>
            <w:tcW w:w="10188" w:type="dxa"/>
            <w:tcBorders>
              <w:top w:val="nil"/>
              <w:left w:val="nil"/>
              <w:bottom w:val="single" w:sz="4" w:space="0" w:color="auto"/>
              <w:right w:val="single" w:sz="4" w:space="0" w:color="auto"/>
            </w:tcBorders>
            <w:shd w:val="clear" w:color="auto" w:fill="auto"/>
            <w:noWrap/>
            <w:vAlign w:val="bottom"/>
            <w:hideMark/>
          </w:tcPr>
          <w:p w:rsidR="00AD0F5B" w:rsidRPr="002652DD" w:rsidRDefault="00B0411F" w:rsidP="00722876">
            <w:pPr>
              <w:spacing w:after="0" w:line="240" w:lineRule="auto"/>
              <w:rPr>
                <w:rFonts w:ascii="Calibri" w:eastAsia="Times New Roman" w:hAnsi="Calibri" w:cs="Times New Roman"/>
                <w:color w:val="000000"/>
              </w:rPr>
            </w:pPr>
            <w:hyperlink w:anchor="Refunds_Spares_Support_Equip" w:history="1">
              <w:r w:rsidR="00AD0F5B" w:rsidRPr="002652DD">
                <w:rPr>
                  <w:rStyle w:val="Hyperlink"/>
                  <w:b/>
                </w:rPr>
                <w:t>REFUNDS (SPARES AND SUPPORT EQUIPMENT)</w:t>
              </w:r>
            </w:hyperlink>
          </w:p>
        </w:tc>
      </w:tr>
    </w:tbl>
    <w:p w:rsidR="00427094" w:rsidRDefault="00427094" w:rsidP="00F968D4">
      <w:pPr>
        <w:spacing w:after="0"/>
        <w:rPr>
          <w:b/>
          <w:sz w:val="24"/>
          <w:szCs w:val="24"/>
        </w:rPr>
      </w:pPr>
    </w:p>
    <w:p w:rsidR="007B5051" w:rsidRPr="00464189" w:rsidRDefault="00750651" w:rsidP="001F750D">
      <w:pPr>
        <w:pStyle w:val="ListParagraph"/>
        <w:numPr>
          <w:ilvl w:val="0"/>
          <w:numId w:val="2"/>
        </w:numPr>
        <w:spacing w:after="0" w:line="240" w:lineRule="auto"/>
        <w:ind w:left="360"/>
        <w:rPr>
          <w:sz w:val="20"/>
          <w:szCs w:val="20"/>
        </w:rPr>
      </w:pPr>
      <w:bookmarkStart w:id="1" w:name="Refunds_Spares_Support_Equip"/>
      <w:bookmarkEnd w:id="1"/>
      <w:r w:rsidRPr="00750651">
        <w:rPr>
          <w:b/>
          <w:sz w:val="20"/>
          <w:szCs w:val="20"/>
        </w:rPr>
        <w:t>REFUNDS (SPARES AND SUPPORT EQUIPMENT)</w:t>
      </w:r>
      <w:r w:rsidR="003E6946" w:rsidRPr="00464189">
        <w:rPr>
          <w:b/>
          <w:sz w:val="20"/>
          <w:szCs w:val="20"/>
        </w:rPr>
        <w:t>.</w:t>
      </w:r>
      <w:r w:rsidR="00EF1B7E">
        <w:rPr>
          <w:b/>
          <w:sz w:val="20"/>
          <w:szCs w:val="20"/>
        </w:rPr>
        <w:t xml:space="preserve"> </w:t>
      </w:r>
      <w:hyperlink w:anchor="_top" w:history="1">
        <w:r w:rsidR="005971A9" w:rsidRPr="00464189">
          <w:rPr>
            <w:sz w:val="20"/>
            <w:szCs w:val="20"/>
          </w:rPr>
          <w:t xml:space="preserve"> </w:t>
        </w:r>
        <w:r w:rsidR="005736CF" w:rsidRPr="00464189">
          <w:rPr>
            <w:rStyle w:val="Hyperlink"/>
            <w:b/>
            <w:sz w:val="20"/>
            <w:szCs w:val="20"/>
          </w:rPr>
          <w:t>(back to top)</w:t>
        </w:r>
      </w:hyperlink>
      <w:r w:rsidR="002E72A3" w:rsidRPr="00464189">
        <w:rPr>
          <w:sz w:val="20"/>
          <w:szCs w:val="20"/>
        </w:rPr>
        <w:t xml:space="preserve"> </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In the event that the price of a spare part or item of support equipment delivered under this contract significantly exceeds its intrinsic value, the SELLER agrees to refund the difference.  Refunds will only be made for the difference between the intrinsic value of the item at the time an agreement on price was reached and the contract price.  Refunds will not be made to recoup the amount of cost decreases that occur over time due to productivity gains (beyond economic purchase quantity considerations) or changes in market conditions.</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For purpose of this clause, the intrinsic value of an item is defined as follows:</w:t>
      </w:r>
    </w:p>
    <w:p w:rsidR="00004933" w:rsidRPr="003E1E3C" w:rsidRDefault="00004933" w:rsidP="001F750D">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 item is one that is sold or is substantially similar or functionally equivalent to one that is sold in substantial quantities to the general public, intrinsic value is the established catalog or market price, plus the value of any unique requirements, including delivery terms, inspection, packaging, or labeling.</w:t>
      </w:r>
    </w:p>
    <w:p w:rsidR="00004933" w:rsidRPr="003E1E3C" w:rsidRDefault="00004933" w:rsidP="001F750D">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there is no comparable item sold in substantial quantities to the general public, intrinsic value is defined as the price an individual would expect to pay for the item based upon an economic purchase quantity as defined in FAR 52.207-4, plus the value of any unique requirements, including delivery terms, inspection, packaging or labeling.</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At any time up to two years after delivery of a spare part or item of support equipment, the BUYER may notify the SELLER that based on all information available at the time of the notice, the price of the part or item apparently exceeds its intrinsic value.</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If notified in accordance with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C</w:t>
      </w:r>
      <w:r w:rsidRPr="003E1E3C">
        <w:rPr>
          <w:rFonts w:asciiTheme="minorHAnsi" w:hAnsiTheme="minorHAnsi"/>
        </w:rPr>
        <w:t xml:space="preserve"> above, the SELLER agrees to enter into good faith negotiations with the BUYER to determine if, and in what amount, the BUYER is entitled to a refund.</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If agreement pursuant to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D</w:t>
      </w:r>
      <w:r w:rsidRPr="003E1E3C">
        <w:rPr>
          <w:rFonts w:asciiTheme="minorHAnsi" w:hAnsiTheme="minorHAnsi"/>
        </w:rPr>
        <w:t xml:space="preserve"> above cannot be reached, and the BUYER’S return of the new or unused item to the SELLER is practical, the BUYER, subject to the SELLER’S agreement, may elect to return the item to the SELLER.  Upon </w:t>
      </w:r>
      <w:r w:rsidRPr="003E1E3C">
        <w:rPr>
          <w:rFonts w:asciiTheme="minorHAnsi" w:hAnsiTheme="minorHAnsi"/>
        </w:rPr>
        <w:lastRenderedPageBreak/>
        <w:t xml:space="preserve">return of the item to its original point of BUYER acceptance, the SELLER shall refund in full the price paid.  If no agreement pursuant to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D</w:t>
      </w:r>
      <w:r w:rsidR="0031686E">
        <w:rPr>
          <w:rFonts w:asciiTheme="minorHAnsi" w:hAnsiTheme="minorHAnsi"/>
        </w:rPr>
        <w:t xml:space="preserve"> </w:t>
      </w:r>
      <w:r w:rsidRPr="003E1E3C">
        <w:rPr>
          <w:rFonts w:asciiTheme="minorHAnsi" w:hAnsiTheme="minorHAnsi"/>
        </w:rPr>
        <w:t>above is reached, and return of the item by the BUYER is impractical, the BUYER may, issue a final decision on the matter, subject to the Disputes Clause.</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The SELLER will make refunds, as required under this clause, in accordance with instructions from the BUYER.</w:t>
      </w:r>
    </w:p>
    <w:p w:rsidR="00004933" w:rsidRPr="003E1E3C" w:rsidRDefault="00004933" w:rsidP="001F750D">
      <w:pPr>
        <w:pStyle w:val="list1"/>
        <w:keepNext/>
        <w:keepLines/>
        <w:widowControl/>
        <w:numPr>
          <w:ilvl w:val="1"/>
          <w:numId w:val="2"/>
        </w:numPr>
        <w:spacing w:before="0" w:after="0" w:line="220" w:lineRule="exact"/>
        <w:ind w:left="720"/>
        <w:rPr>
          <w:rFonts w:asciiTheme="minorHAnsi" w:hAnsiTheme="minorHAnsi"/>
        </w:rPr>
      </w:pPr>
      <w:r w:rsidRPr="003E1E3C">
        <w:rPr>
          <w:rFonts w:asciiTheme="minorHAnsi" w:hAnsiTheme="minorHAnsi"/>
        </w:rPr>
        <w:t>The SELLER shall not be liable for a refund if the SELLER advised the BUYER in a timely manner that the price it would propose for a spare part or item of support equipment exceeded its intrinsic value, and with such advice, specified the estimated proposed price, the estimated intrinsic value and known alternative sources or items, if any, that can meet the requirements.</w:t>
      </w:r>
    </w:p>
    <w:p w:rsidR="00004933"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This clause does not apply to any spare parts or items of support equipment whose price is determined through adequate price competition.</w:t>
      </w:r>
      <w:r w:rsidR="00A865AF">
        <w:rPr>
          <w:rFonts w:asciiTheme="minorHAnsi" w:hAnsiTheme="minorHAnsi"/>
        </w:rPr>
        <w:t xml:space="preserve"> </w:t>
      </w:r>
      <w:r w:rsidRPr="003E1E3C">
        <w:rPr>
          <w:rFonts w:asciiTheme="minorHAnsi" w:hAnsiTheme="minorHAnsi"/>
        </w:rPr>
        <w:t xml:space="preserve"> This clause also does not apply to any spare part or item of support equipment with a unit price in excess of $100,000; or in excess of $25,000 if the SELLER submitted, and certified the currency, accuracy and completeness of, cost or pricing data applicable to the item.  </w:t>
      </w:r>
    </w:p>
    <w:p w:rsidR="009B6EED" w:rsidRPr="003E1E3C" w:rsidRDefault="009B6EED" w:rsidP="009B6EED">
      <w:pPr>
        <w:pStyle w:val="list1"/>
        <w:widowControl/>
        <w:numPr>
          <w:ilvl w:val="0"/>
          <w:numId w:val="0"/>
        </w:numPr>
        <w:spacing w:before="0" w:after="0" w:line="220" w:lineRule="exact"/>
        <w:ind w:left="720"/>
        <w:rPr>
          <w:rFonts w:asciiTheme="minorHAnsi" w:hAnsiTheme="minorHAnsi"/>
        </w:rPr>
      </w:pPr>
    </w:p>
    <w:p w:rsidR="007B5051" w:rsidRPr="00464189" w:rsidRDefault="00750651" w:rsidP="001F750D">
      <w:pPr>
        <w:pStyle w:val="ListParagraph"/>
        <w:numPr>
          <w:ilvl w:val="0"/>
          <w:numId w:val="1"/>
        </w:numPr>
        <w:spacing w:after="0" w:line="220" w:lineRule="exact"/>
        <w:jc w:val="both"/>
        <w:rPr>
          <w:sz w:val="20"/>
          <w:szCs w:val="20"/>
        </w:rPr>
      </w:pPr>
      <w:bookmarkStart w:id="2" w:name="Access_to_Prop_Data_Computer_Software"/>
      <w:bookmarkEnd w:id="2"/>
      <w:r w:rsidRPr="00750651">
        <w:rPr>
          <w:b/>
          <w:caps/>
          <w:sz w:val="20"/>
          <w:szCs w:val="20"/>
        </w:rPr>
        <w:t>ACCESS TO PROPRIETARY DATA OR COMPUTER SOFTWARE</w:t>
      </w:r>
      <w:r w:rsidR="00A108D9" w:rsidRPr="00464189">
        <w:rPr>
          <w:b/>
          <w:caps/>
          <w:sz w:val="20"/>
          <w:szCs w:val="20"/>
        </w:rPr>
        <w:t>.</w:t>
      </w:r>
      <w:r w:rsidR="005736CF" w:rsidRPr="00464189">
        <w:rPr>
          <w:b/>
          <w:sz w:val="20"/>
          <w:szCs w:val="20"/>
        </w:rPr>
        <w:t xml:space="preserve"> </w:t>
      </w:r>
      <w:r w:rsidR="00692EA1">
        <w:rPr>
          <w:b/>
          <w:sz w:val="20"/>
          <w:szCs w:val="20"/>
        </w:rPr>
        <w:t xml:space="preserve"> </w:t>
      </w:r>
      <w:hyperlink w:anchor="_top" w:history="1">
        <w:r w:rsidR="005736CF" w:rsidRPr="00464189">
          <w:rPr>
            <w:rStyle w:val="Hyperlink"/>
            <w:b/>
            <w:sz w:val="20"/>
            <w:szCs w:val="20"/>
          </w:rPr>
          <w:t>(back to top)</w:t>
        </w:r>
      </w:hyperlink>
      <w:r w:rsidR="005736CF" w:rsidRPr="00464189">
        <w:rPr>
          <w:b/>
          <w:sz w:val="20"/>
          <w:szCs w:val="20"/>
        </w:rPr>
        <w:t xml:space="preserve"> </w:t>
      </w:r>
    </w:p>
    <w:p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Performance under this </w:t>
      </w:r>
      <w:r w:rsidR="00D03D6D">
        <w:rPr>
          <w:rFonts w:asciiTheme="minorHAnsi" w:hAnsiTheme="minorHAnsi"/>
        </w:rPr>
        <w:t>Order</w:t>
      </w:r>
      <w:r w:rsidRPr="003E1E3C">
        <w:rPr>
          <w:rFonts w:asciiTheme="minorHAnsi" w:hAnsiTheme="minorHAnsi"/>
        </w:rPr>
        <w:t xml:space="preserve">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the Government’s Contracting Officer.  </w:t>
      </w:r>
      <w:r w:rsidR="00F66663">
        <w:rPr>
          <w:rFonts w:asciiTheme="minorHAnsi" w:hAnsiTheme="minorHAnsi"/>
        </w:rPr>
        <w:t>Upon modification of the Prime Contract by the Government, Buyer</w:t>
      </w:r>
      <w:r w:rsidRPr="003E1E3C">
        <w:rPr>
          <w:rFonts w:asciiTheme="minorHAnsi" w:hAnsiTheme="minorHAnsi"/>
        </w:rPr>
        <w:t xml:space="preserve"> may </w:t>
      </w:r>
      <w:r w:rsidR="00F66663">
        <w:rPr>
          <w:rFonts w:asciiTheme="minorHAnsi" w:hAnsiTheme="minorHAnsi"/>
        </w:rPr>
        <w:t>correspondingly</w:t>
      </w:r>
      <w:r w:rsidR="00F66663" w:rsidRPr="003E1E3C">
        <w:rPr>
          <w:rFonts w:asciiTheme="minorHAnsi" w:hAnsiTheme="minorHAnsi"/>
        </w:rPr>
        <w:t xml:space="preserve"> </w:t>
      </w:r>
      <w:r w:rsidRPr="003E1E3C">
        <w:rPr>
          <w:rFonts w:asciiTheme="minorHAnsi" w:hAnsiTheme="minorHAnsi"/>
        </w:rPr>
        <w:t>unilaterally modify th</w:t>
      </w:r>
      <w:r w:rsidR="00F66663">
        <w:rPr>
          <w:rFonts w:asciiTheme="minorHAnsi" w:hAnsiTheme="minorHAnsi"/>
        </w:rPr>
        <w:t xml:space="preserve">is Order </w:t>
      </w:r>
      <w:r w:rsidRPr="003E1E3C">
        <w:rPr>
          <w:rFonts w:asciiTheme="minorHAnsi" w:hAnsiTheme="minorHAnsi"/>
        </w:rPr>
        <w:t>to list those third parties with which SELLER has agreement(s).</w:t>
      </w:r>
    </w:p>
    <w:p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SELLER agrees to: (1) indoctrinate its personnel who will have access to the data or software as to the restrictions under which access is granted; (2) not disclose the data or software to another party or other SELLER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venturer, affiliate, successor, or assign of SELLER; and (5) reproduce the restrictive stamp, marking, or legend on each use of the data or software whether in whole or in part.  </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The restrictions on use and disclosure of the data and software described above also apply to such information received from the Government through any means to which SELLER has access in the performance of this </w:t>
      </w:r>
      <w:r w:rsidR="00F66663">
        <w:rPr>
          <w:rFonts w:asciiTheme="minorHAnsi" w:hAnsiTheme="minorHAnsi"/>
        </w:rPr>
        <w:t>Order</w:t>
      </w:r>
      <w:r w:rsidRPr="003E1E3C">
        <w:rPr>
          <w:rFonts w:asciiTheme="minorHAnsi" w:hAnsiTheme="minorHAnsi"/>
        </w:rPr>
        <w:t xml:space="preserve"> that contains proprietary or other restrictive markings.  </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SELLER agrees that it will promptly notify BUYER of any attempt by an individual, company, or Government representative not directly involved in the effort to be performed under this </w:t>
      </w:r>
      <w:r w:rsidR="00F66663">
        <w:rPr>
          <w:rFonts w:asciiTheme="minorHAnsi" w:hAnsiTheme="minorHAnsi"/>
        </w:rPr>
        <w:t>Order</w:t>
      </w:r>
      <w:r w:rsidRPr="003E1E3C">
        <w:rPr>
          <w:rFonts w:asciiTheme="minorHAnsi" w:hAnsiTheme="minorHAnsi"/>
        </w:rPr>
        <w:t xml:space="preserve"> to gain access to such proprietary information.  Such notification shall include the name and organization of the individual, company, or Government representative seeking access to such information.</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SELLER shall include this requirement in subcontracts of any tier which involve access to information covered by </w:t>
      </w:r>
      <w:r w:rsidR="00B44A51">
        <w:rPr>
          <w:rFonts w:asciiTheme="minorHAnsi" w:hAnsiTheme="minorHAnsi"/>
        </w:rPr>
        <w:t>sub</w:t>
      </w:r>
      <w:r w:rsidRPr="003E1E3C">
        <w:rPr>
          <w:rFonts w:asciiTheme="minorHAnsi" w:hAnsiTheme="minorHAnsi"/>
        </w:rPr>
        <w:t xml:space="preserve">paragraph </w:t>
      </w:r>
      <w:r w:rsidR="00DA2CAB" w:rsidRPr="003E1E3C">
        <w:rPr>
          <w:rFonts w:asciiTheme="minorHAnsi" w:hAnsiTheme="minorHAnsi"/>
        </w:rPr>
        <w:t>A</w:t>
      </w:r>
      <w:r w:rsidRPr="003E1E3C">
        <w:rPr>
          <w:rFonts w:asciiTheme="minorHAnsi" w:hAnsiTheme="minorHAnsi"/>
        </w:rPr>
        <w:t xml:space="preserve">, substituting "subcontractor" for "SELLER" where appropriate. </w:t>
      </w:r>
    </w:p>
    <w:p w:rsidR="00A108D9"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Compliance with this requirement is a material requirement of this Order.</w:t>
      </w:r>
    </w:p>
    <w:p w:rsidR="00EC61B5" w:rsidRPr="003E1E3C" w:rsidRDefault="00EC61B5" w:rsidP="00EC61B5">
      <w:pPr>
        <w:pStyle w:val="list1"/>
        <w:widowControl/>
        <w:numPr>
          <w:ilvl w:val="0"/>
          <w:numId w:val="0"/>
        </w:numPr>
        <w:spacing w:before="0" w:after="0" w:line="220" w:lineRule="exact"/>
        <w:ind w:left="720"/>
        <w:rPr>
          <w:rFonts w:asciiTheme="minorHAnsi" w:hAnsiTheme="minorHAnsi"/>
        </w:rPr>
      </w:pPr>
    </w:p>
    <w:p w:rsidR="00DB6A82" w:rsidRPr="00464189" w:rsidRDefault="00750651" w:rsidP="001F750D">
      <w:pPr>
        <w:pStyle w:val="ListParagraph"/>
        <w:numPr>
          <w:ilvl w:val="0"/>
          <w:numId w:val="1"/>
        </w:numPr>
        <w:spacing w:after="0" w:line="220" w:lineRule="exact"/>
        <w:contextualSpacing w:val="0"/>
        <w:jc w:val="both"/>
        <w:rPr>
          <w:sz w:val="20"/>
          <w:szCs w:val="20"/>
        </w:rPr>
      </w:pPr>
      <w:bookmarkStart w:id="3" w:name="Access_to_Vessels_by_Non_US"/>
      <w:bookmarkEnd w:id="3"/>
      <w:r w:rsidRPr="00750651">
        <w:rPr>
          <w:b/>
          <w:sz w:val="20"/>
          <w:szCs w:val="20"/>
        </w:rPr>
        <w:t>ACCESS TO VESSELS BY NON-U.S</w:t>
      </w:r>
      <w:r w:rsidR="00B44A51">
        <w:rPr>
          <w:b/>
          <w:sz w:val="20"/>
          <w:szCs w:val="20"/>
        </w:rPr>
        <w:t>.</w:t>
      </w:r>
      <w:r w:rsidRPr="00750651">
        <w:rPr>
          <w:b/>
          <w:sz w:val="20"/>
          <w:szCs w:val="20"/>
        </w:rPr>
        <w:t xml:space="preserve"> CITIZENS</w:t>
      </w:r>
      <w:r w:rsidR="00932C4D" w:rsidRPr="00464189">
        <w:rPr>
          <w:b/>
          <w:sz w:val="20"/>
          <w:szCs w:val="20"/>
        </w:rPr>
        <w:t xml:space="preserve">. </w:t>
      </w:r>
      <w:r w:rsidR="005971A9" w:rsidRPr="00464189">
        <w:rPr>
          <w:b/>
          <w:sz w:val="20"/>
          <w:szCs w:val="20"/>
        </w:rPr>
        <w:t xml:space="preserve"> </w:t>
      </w:r>
      <w:hyperlink w:anchor="_top" w:history="1">
        <w:r w:rsidR="00932C4D" w:rsidRPr="00464189">
          <w:rPr>
            <w:rStyle w:val="Hyperlink"/>
            <w:b/>
            <w:sz w:val="20"/>
            <w:szCs w:val="20"/>
          </w:rPr>
          <w:t>(back to top)</w:t>
        </w:r>
      </w:hyperlink>
      <w:r w:rsidR="00932C4D" w:rsidRPr="00464189">
        <w:rPr>
          <w:sz w:val="20"/>
          <w:szCs w:val="20"/>
        </w:rPr>
        <w:t xml:space="preserve">  </w:t>
      </w:r>
    </w:p>
    <w:p w:rsidR="00984305" w:rsidRPr="003821C9"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w:t>
      </w:r>
      <w:r w:rsidR="00B44A51" w:rsidRPr="003821C9">
        <w:rPr>
          <w:rFonts w:asciiTheme="minorHAnsi" w:hAnsiTheme="minorHAnsi"/>
        </w:rPr>
        <w:t xml:space="preserve"> </w:t>
      </w:r>
      <w:r w:rsidRPr="003821C9">
        <w:rPr>
          <w:rFonts w:asciiTheme="minorHAnsi" w:hAnsiTheme="minorHAnsi"/>
        </w:rPr>
        <w:t xml:space="preserve">SELLER shall establish procedures to comply with this requirement and NAVSEAINST 5500.3 (series) in effect </w:t>
      </w:r>
      <w:r w:rsidR="003821C9" w:rsidRPr="003821C9">
        <w:rPr>
          <w:rFonts w:asciiTheme="minorHAnsi" w:hAnsiTheme="minorHAnsi"/>
        </w:rPr>
        <w:t xml:space="preserve">as of </w:t>
      </w:r>
      <w:r w:rsidR="00F66663">
        <w:rPr>
          <w:rFonts w:asciiTheme="minorHAnsi" w:hAnsiTheme="minorHAnsi"/>
        </w:rPr>
        <w:t>June 1, 2013</w:t>
      </w:r>
      <w:r w:rsidR="003821C9" w:rsidRPr="003821C9">
        <w:rPr>
          <w:rFonts w:asciiTheme="minorHAnsi" w:hAnsiTheme="minorHAnsi"/>
        </w:rPr>
        <w:t xml:space="preserve">.  </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If SELLER desires to employ non-U.S. citizens in the performance of work under this </w:t>
      </w:r>
      <w:r w:rsidR="003821C9">
        <w:rPr>
          <w:rFonts w:asciiTheme="minorHAnsi" w:hAnsiTheme="minorHAnsi"/>
        </w:rPr>
        <w:t>Order</w:t>
      </w:r>
      <w:r w:rsidRPr="003821C9">
        <w:rPr>
          <w:rFonts w:asciiTheme="minorHAnsi" w:hAnsiTheme="minorHAnsi"/>
        </w:rPr>
        <w:t xml:space="preserve"> that requires access as specified in </w:t>
      </w:r>
      <w:r w:rsidR="00B44A51" w:rsidRPr="003821C9">
        <w:rPr>
          <w:rFonts w:asciiTheme="minorHAnsi" w:hAnsiTheme="minorHAnsi"/>
        </w:rPr>
        <w:t>sub</w:t>
      </w:r>
      <w:r w:rsidRPr="003821C9">
        <w:rPr>
          <w:rFonts w:asciiTheme="minorHAnsi" w:hAnsiTheme="minorHAnsi"/>
        </w:rPr>
        <w:t xml:space="preserve">paragraph </w:t>
      </w:r>
      <w:r w:rsidR="00B44A51" w:rsidRPr="003821C9">
        <w:rPr>
          <w:rFonts w:asciiTheme="minorHAnsi" w:hAnsiTheme="minorHAnsi"/>
        </w:rPr>
        <w:t>A</w:t>
      </w:r>
      <w:r w:rsidRPr="003821C9">
        <w:rPr>
          <w:rFonts w:asciiTheme="minorHAnsi" w:hAnsiTheme="minorHAnsi"/>
        </w:rPr>
        <w:t xml:space="preserve"> of this requirement, approval </w:t>
      </w:r>
      <w:r w:rsidR="003821C9">
        <w:rPr>
          <w:rFonts w:asciiTheme="minorHAnsi" w:hAnsiTheme="minorHAnsi"/>
        </w:rPr>
        <w:t xml:space="preserve">of the Contracting Officer under the Prime Contract </w:t>
      </w:r>
      <w:r w:rsidRPr="003821C9">
        <w:rPr>
          <w:rFonts w:asciiTheme="minorHAnsi" w:hAnsiTheme="minorHAnsi"/>
        </w:rPr>
        <w:t>must be obtained prior to access.  To request such approval for non-U.S. citizens of friendly countries,  SELLER shall submit to BUYER, an Access Control Plan (ACP) that shall contai</w:t>
      </w:r>
      <w:r w:rsidRPr="003E1E3C">
        <w:rPr>
          <w:rFonts w:asciiTheme="minorHAnsi" w:hAnsiTheme="minorHAnsi"/>
        </w:rPr>
        <w:t>n as a minimum, the following information:</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Badge or Pass oriented identification, access, and movement control system for non-U.S. citizen employees with the badge or pass to be worn or displayed on outer garments at all times while on BUYER’s facilities and when performing work aboard ship.</w:t>
      </w:r>
    </w:p>
    <w:p w:rsidR="00984305" w:rsidRPr="003E1E3C" w:rsidRDefault="00984305" w:rsidP="001F750D">
      <w:pPr>
        <w:pStyle w:val="list1"/>
        <w:widowControl/>
        <w:numPr>
          <w:ilvl w:val="3"/>
          <w:numId w:val="1"/>
        </w:numPr>
        <w:spacing w:before="0" w:after="0" w:line="220" w:lineRule="exact"/>
        <w:ind w:left="1627" w:hanging="432"/>
        <w:rPr>
          <w:rFonts w:asciiTheme="minorHAnsi" w:hAnsiTheme="minorHAnsi"/>
        </w:rPr>
      </w:pPr>
      <w:r w:rsidRPr="003E1E3C">
        <w:rPr>
          <w:rFonts w:asciiTheme="minorHAnsi" w:hAnsiTheme="minorHAnsi"/>
        </w:rPr>
        <w:t>Badges must be of such design and appearance that permits easy recognition to facilitate quick and positive identification.</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Access authorization and limitations for the bearer must be clearly established and in accordance with applicable security regulation and instructions.</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control system, which provides rigid accountability procedures for handling lost, damaged, forgotten or no longer required badges, must be established.</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badge or pass check must be performed at all points of entry to the BUYER’s facilities or by a site supervisor for wor</w:t>
      </w:r>
      <w:r w:rsidR="002652DD">
        <w:rPr>
          <w:rFonts w:asciiTheme="minorHAnsi" w:hAnsiTheme="minorHAnsi"/>
        </w:rPr>
        <w:t xml:space="preserve">k performed on vessels outside </w:t>
      </w:r>
      <w:r w:rsidRPr="003E1E3C">
        <w:rPr>
          <w:rFonts w:asciiTheme="minorHAnsi" w:hAnsiTheme="minorHAnsi"/>
        </w:rPr>
        <w:t>BUYER’s plant.</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ascertaining citizenship and for screening employees for security risk.</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Data reflecting the number, nationality, and positions held by non-U.S. citizen employees, including procedures to update data as non-U.S. citizen employee data changes, and pass to cognizant CAO.</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ensuring subcontractor compliance with the provisions of the SELLER’s ACP.</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These conditions and controls are intended to serve as guidelines representing the minimum requirements of an acceptable ACP.  They are not meant to restrict SELLER in any way from imposing additional controls necessary to tailor these requirements to a specific facility.</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To request approval for non-U.S. citizens of hostile and/or communist- controlled countries (Listed in Department of Defense Industrial Security Manual, COC 5220.22M or available from cognizant CAO),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communist-controlled countries.  Until approval is received, SELLER must deny access to vessels for employees who are non-U.S. citizens of hostile and/or communist-controlled countries.</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fully comply with approved ACPs.  Noncompliance by SELLER or </w:t>
      </w:r>
      <w:r w:rsidR="003821C9">
        <w:rPr>
          <w:rFonts w:asciiTheme="minorHAnsi" w:hAnsiTheme="minorHAnsi"/>
        </w:rPr>
        <w:t xml:space="preserve">its </w:t>
      </w:r>
      <w:r w:rsidRPr="003E1E3C">
        <w:rPr>
          <w:rFonts w:asciiTheme="minorHAnsi" w:hAnsiTheme="minorHAnsi"/>
        </w:rPr>
        <w:t>subcontractor</w:t>
      </w:r>
      <w:r w:rsidR="003821C9">
        <w:rPr>
          <w:rFonts w:asciiTheme="minorHAnsi" w:hAnsiTheme="minorHAnsi"/>
        </w:rPr>
        <w:t>s</w:t>
      </w:r>
      <w:r w:rsidRPr="003E1E3C">
        <w:rPr>
          <w:rFonts w:asciiTheme="minorHAnsi" w:hAnsiTheme="minorHAnsi"/>
        </w:rPr>
        <w:t xml:space="preserve"> serves to cancel any authorization previously granted, in which case SELLER shall be precluded from the continued use of non-U.S. citizens on this </w:t>
      </w:r>
      <w:r w:rsidR="003821C9">
        <w:rPr>
          <w:rFonts w:asciiTheme="minorHAnsi" w:hAnsiTheme="minorHAnsi"/>
        </w:rPr>
        <w:t>Order</w:t>
      </w:r>
      <w:r w:rsidRPr="003E1E3C">
        <w:rPr>
          <w:rFonts w:asciiTheme="minorHAnsi" w:hAnsiTheme="minorHAnsi"/>
        </w:rPr>
        <w:t xml:space="preserve"> until such time as the compliance with an approved ACP is demonstrated and upon a determination by the CAO that the Government’s interests are protected.  Further, the Government and BUYER reserve the right to cancel previously granted authority when such cancellation is determined to be in the Government’s or BUYER’s best interest.  Use of non-U.S. citizens, without an approved ACP or when a previous authorization has been canceled, will be considered a violation of security regulations.  Upon confirmation by the CAO of such violation, this </w:t>
      </w:r>
      <w:r w:rsidR="003821C9">
        <w:rPr>
          <w:rFonts w:asciiTheme="minorHAnsi" w:hAnsiTheme="minorHAnsi"/>
        </w:rPr>
        <w:t xml:space="preserve">Order </w:t>
      </w:r>
      <w:r w:rsidRPr="003E1E3C">
        <w:rPr>
          <w:rFonts w:asciiTheme="minorHAnsi" w:hAnsiTheme="minorHAnsi"/>
        </w:rPr>
        <w:t>may be terminated</w:t>
      </w:r>
      <w:r w:rsidR="00F66663">
        <w:rPr>
          <w:rFonts w:asciiTheme="minorHAnsi" w:hAnsiTheme="minorHAnsi"/>
        </w:rPr>
        <w:t xml:space="preserve"> for default</w:t>
      </w:r>
      <w:r w:rsidRPr="003E1E3C">
        <w:rPr>
          <w:rFonts w:asciiTheme="minorHAnsi" w:hAnsiTheme="minorHAnsi"/>
        </w:rPr>
        <w:t>.</w:t>
      </w:r>
    </w:p>
    <w:p w:rsidR="00984305" w:rsidRPr="003E1E3C" w:rsidRDefault="00984305" w:rsidP="001F750D">
      <w:pPr>
        <w:pStyle w:val="list1"/>
        <w:keepNext/>
        <w:keepLines/>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have full responsibility for the proper administration of the approved ACP for all work performed under this </w:t>
      </w:r>
      <w:r w:rsidR="003821C9">
        <w:rPr>
          <w:rFonts w:asciiTheme="minorHAnsi" w:hAnsiTheme="minorHAnsi"/>
        </w:rPr>
        <w:t>Order</w:t>
      </w:r>
      <w:r w:rsidRPr="003E1E3C">
        <w:rPr>
          <w:rFonts w:asciiTheme="minorHAnsi" w:hAnsiTheme="minorHAnsi"/>
        </w:rPr>
        <w:t>, regardless of the location of the vessel, and must ensure compliance by all of its subcontractors, technical representatives and other persons granted access to U.S. Navy vessels, adjacent areas, and work sites.</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In the event SELLER does not intend to employ non-U.S. citizens in the performance of the work under this </w:t>
      </w:r>
      <w:r w:rsidR="003821C9">
        <w:rPr>
          <w:rFonts w:asciiTheme="minorHAnsi" w:hAnsiTheme="minorHAnsi"/>
        </w:rPr>
        <w:t>Order</w:t>
      </w:r>
      <w:r w:rsidRPr="003E1E3C">
        <w:rPr>
          <w:rFonts w:asciiTheme="minorHAnsi" w:hAnsiTheme="minorHAnsi"/>
        </w:rPr>
        <w: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984305"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The sam</w:t>
      </w:r>
      <w:r w:rsidR="00F66663">
        <w:rPr>
          <w:rFonts w:asciiTheme="minorHAnsi" w:hAnsiTheme="minorHAnsi"/>
        </w:rPr>
        <w:t>e restriction as in paragraph (F</w:t>
      </w:r>
      <w:r w:rsidRPr="003E1E3C">
        <w:rPr>
          <w:rFonts w:asciiTheme="minorHAnsi" w:hAnsiTheme="minorHAnsi"/>
        </w:rPr>
        <w:t xml:space="preserve">) above applies to other than non-U.S. citizens who have access to the BUYER’s facilities (e.g., for accomplishing facility improvements, from foreign crewed vessels within its facility, etc.). </w:t>
      </w:r>
    </w:p>
    <w:p w:rsidR="004F3BF3" w:rsidRPr="003E1E3C" w:rsidRDefault="004F3BF3" w:rsidP="004F3BF3">
      <w:pPr>
        <w:pStyle w:val="list1"/>
        <w:widowControl/>
        <w:numPr>
          <w:ilvl w:val="0"/>
          <w:numId w:val="0"/>
        </w:numPr>
        <w:spacing w:before="0" w:after="0" w:line="220" w:lineRule="exact"/>
        <w:ind w:left="720"/>
        <w:rPr>
          <w:rFonts w:asciiTheme="minorHAnsi" w:hAnsiTheme="minorHAnsi"/>
        </w:rPr>
      </w:pPr>
    </w:p>
    <w:p w:rsidR="00984305" w:rsidRPr="00984305" w:rsidRDefault="00750651" w:rsidP="001F750D">
      <w:pPr>
        <w:pStyle w:val="ListParagraph"/>
        <w:numPr>
          <w:ilvl w:val="0"/>
          <w:numId w:val="1"/>
        </w:numPr>
        <w:spacing w:after="0" w:line="220" w:lineRule="exact"/>
        <w:jc w:val="both"/>
        <w:rPr>
          <w:sz w:val="20"/>
          <w:szCs w:val="20"/>
        </w:rPr>
      </w:pPr>
      <w:bookmarkStart w:id="4" w:name="Assignment_and_Use_of_Stock_Numbers"/>
      <w:bookmarkEnd w:id="4"/>
      <w:r w:rsidRPr="00750651">
        <w:rPr>
          <w:b/>
          <w:sz w:val="20"/>
          <w:szCs w:val="20"/>
        </w:rPr>
        <w:t>ASSIGNMENT AND USE OF STOCK NUMBERS</w:t>
      </w:r>
      <w:r w:rsidR="00932C4D" w:rsidRPr="00464189">
        <w:rPr>
          <w:b/>
          <w:sz w:val="20"/>
          <w:szCs w:val="20"/>
        </w:rPr>
        <w:t xml:space="preserve">. </w:t>
      </w:r>
      <w:r w:rsidR="005971A9" w:rsidRPr="00464189">
        <w:rPr>
          <w:b/>
          <w:sz w:val="20"/>
          <w:szCs w:val="20"/>
        </w:rPr>
        <w:t xml:space="preserve"> </w:t>
      </w:r>
      <w:hyperlink w:anchor="_top" w:history="1">
        <w:r w:rsidR="00932C4D" w:rsidRPr="00464189">
          <w:rPr>
            <w:rStyle w:val="Hyperlink"/>
            <w:b/>
            <w:sz w:val="20"/>
            <w:szCs w:val="20"/>
          </w:rPr>
          <w:t>(back to top)</w:t>
        </w:r>
      </w:hyperlink>
      <w:r w:rsidR="00932C4D" w:rsidRPr="00464189">
        <w:rPr>
          <w:sz w:val="20"/>
          <w:szCs w:val="20"/>
        </w:rPr>
        <w:t xml:space="preserve">  </w:t>
      </w:r>
    </w:p>
    <w:p w:rsidR="00932C4D" w:rsidRDefault="00984305" w:rsidP="004F3BF3">
      <w:pPr>
        <w:pStyle w:val="ListParagraph"/>
        <w:spacing w:after="0" w:line="220" w:lineRule="exact"/>
        <w:ind w:left="360"/>
        <w:contextualSpacing w:val="0"/>
        <w:jc w:val="both"/>
        <w:rPr>
          <w:sz w:val="20"/>
          <w:szCs w:val="20"/>
        </w:rPr>
      </w:pPr>
      <w:r w:rsidRPr="00984305">
        <w:rPr>
          <w:sz w:val="20"/>
          <w:szCs w:val="20"/>
        </w:rPr>
        <w:t>To the extent that National Stock Numbers (NSNs) or preliminary NSNs are assigned by the Government or BUYER for the identification of parts, pieces, items, subassemblies or assemblies to be furnished under</w:t>
      </w:r>
      <w:r w:rsidR="00E23022">
        <w:rPr>
          <w:sz w:val="20"/>
          <w:szCs w:val="20"/>
        </w:rPr>
        <w:t xml:space="preserve"> this O</w:t>
      </w:r>
      <w:r w:rsidRPr="00984305">
        <w:rPr>
          <w:sz w:val="20"/>
          <w:szCs w:val="20"/>
        </w:rPr>
        <w:t>rder, SELLER shall use such NSNs or preliminary NSNs in the preparation of provisioning lists, package labels, packing lists, shipping containers and shipping documents as required by applicable specifications, standards or Data Item Descriptions (DIDs) of th</w:t>
      </w:r>
      <w:r w:rsidR="00E23022">
        <w:rPr>
          <w:sz w:val="20"/>
          <w:szCs w:val="20"/>
        </w:rPr>
        <w:t>is Order</w:t>
      </w:r>
      <w:r w:rsidRPr="00984305">
        <w:rPr>
          <w:sz w:val="20"/>
          <w:szCs w:val="20"/>
        </w:rPr>
        <w:t xml:space="preserve"> or as required by orders for spare and repair parts.  BUYER shall be responsible for conveying to SELLER such NSNs or preliminary NSNs that may be assigned and that are not already in the possession of SELLER.  </w:t>
      </w:r>
    </w:p>
    <w:p w:rsidR="004F3BF3" w:rsidRPr="00464189" w:rsidRDefault="004F3BF3" w:rsidP="004F3BF3">
      <w:pPr>
        <w:pStyle w:val="ListParagraph"/>
        <w:spacing w:after="0" w:line="220" w:lineRule="exact"/>
        <w:ind w:left="360"/>
        <w:contextualSpacing w:val="0"/>
        <w:jc w:val="both"/>
        <w:rPr>
          <w:sz w:val="20"/>
          <w:szCs w:val="20"/>
        </w:rPr>
      </w:pPr>
    </w:p>
    <w:p w:rsidR="00984305" w:rsidRPr="00750651" w:rsidRDefault="00750651" w:rsidP="001F750D">
      <w:pPr>
        <w:pStyle w:val="ListParagraph"/>
        <w:numPr>
          <w:ilvl w:val="0"/>
          <w:numId w:val="1"/>
        </w:numPr>
        <w:spacing w:after="0" w:line="220" w:lineRule="exact"/>
        <w:jc w:val="both"/>
        <w:rPr>
          <w:sz w:val="20"/>
          <w:szCs w:val="20"/>
        </w:rPr>
      </w:pPr>
      <w:bookmarkStart w:id="5" w:name="Dept_of_Labor_OSHA_Standards"/>
      <w:bookmarkEnd w:id="5"/>
      <w:r w:rsidRPr="00750651">
        <w:rPr>
          <w:b/>
          <w:sz w:val="20"/>
          <w:szCs w:val="20"/>
        </w:rPr>
        <w:t>DEPARTMENT OF LABOR OCCUPATIONAL SAFETY AND HEALTH STANDARDS FOR SHIP</w:t>
      </w:r>
      <w:r w:rsidR="0007755A">
        <w:rPr>
          <w:b/>
          <w:sz w:val="20"/>
          <w:szCs w:val="20"/>
        </w:rPr>
        <w:t>BUILDING</w:t>
      </w:r>
      <w:r w:rsidR="006D4193" w:rsidRPr="00750651">
        <w:rPr>
          <w:b/>
          <w:sz w:val="20"/>
          <w:szCs w:val="20"/>
        </w:rPr>
        <w:t xml:space="preserve">. </w:t>
      </w:r>
      <w:r w:rsidR="005971A9" w:rsidRPr="00750651">
        <w:rPr>
          <w:b/>
          <w:sz w:val="20"/>
          <w:szCs w:val="20"/>
        </w:rPr>
        <w:t xml:space="preserve"> </w:t>
      </w:r>
      <w:hyperlink w:anchor="_top" w:history="1">
        <w:r w:rsidR="006D4193" w:rsidRPr="00750651">
          <w:rPr>
            <w:rStyle w:val="Hyperlink"/>
            <w:b/>
            <w:sz w:val="20"/>
            <w:szCs w:val="20"/>
          </w:rPr>
          <w:t>(back to top)</w:t>
        </w:r>
      </w:hyperlink>
      <w:r w:rsidR="006D4193" w:rsidRPr="00750651">
        <w:rPr>
          <w:b/>
          <w:sz w:val="20"/>
          <w:szCs w:val="20"/>
        </w:rPr>
        <w:t xml:space="preserve"> </w:t>
      </w:r>
      <w:r w:rsidR="006D4193" w:rsidRPr="00750651">
        <w:rPr>
          <w:sz w:val="20"/>
          <w:szCs w:val="20"/>
        </w:rPr>
        <w:t xml:space="preserve"> </w:t>
      </w:r>
    </w:p>
    <w:p w:rsidR="006D4193" w:rsidRDefault="0007755A" w:rsidP="00D0782E">
      <w:pPr>
        <w:pStyle w:val="ListParagraph"/>
        <w:spacing w:after="0" w:line="220" w:lineRule="exact"/>
        <w:ind w:left="360"/>
        <w:jc w:val="both"/>
        <w:rPr>
          <w:sz w:val="20"/>
          <w:szCs w:val="20"/>
        </w:rPr>
      </w:pPr>
      <w:r w:rsidRPr="0007755A">
        <w:rPr>
          <w:sz w:val="20"/>
          <w:szCs w:val="20"/>
        </w:rPr>
        <w:t xml:space="preserve">Attention of </w:t>
      </w:r>
      <w:r>
        <w:rPr>
          <w:sz w:val="20"/>
          <w:szCs w:val="20"/>
        </w:rPr>
        <w:t>SELLER</w:t>
      </w:r>
      <w:r w:rsidRPr="0007755A">
        <w:rPr>
          <w:sz w:val="20"/>
          <w:szCs w:val="20"/>
        </w:rPr>
        <w:t xml:space="preserve"> is directed to Public Law 91 596,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w:t>
      </w:r>
      <w:r>
        <w:rPr>
          <w:sz w:val="20"/>
          <w:szCs w:val="20"/>
        </w:rPr>
        <w:t xml:space="preserve">  </w:t>
      </w:r>
      <w:r w:rsidR="00984305" w:rsidRPr="00984305">
        <w:rPr>
          <w:sz w:val="20"/>
          <w:szCs w:val="20"/>
        </w:rPr>
        <w:t xml:space="preserve">Nothing contained in this </w:t>
      </w:r>
      <w:r w:rsidR="00D0782E">
        <w:rPr>
          <w:sz w:val="20"/>
          <w:szCs w:val="20"/>
        </w:rPr>
        <w:t>Order</w:t>
      </w:r>
      <w:r w:rsidR="00984305" w:rsidRPr="00984305">
        <w:rPr>
          <w:sz w:val="20"/>
          <w:szCs w:val="20"/>
        </w:rPr>
        <w:t xml:space="preserve"> shall be construed as relieving </w:t>
      </w:r>
      <w:r w:rsidR="00EC40D1">
        <w:rPr>
          <w:sz w:val="20"/>
          <w:szCs w:val="20"/>
        </w:rPr>
        <w:t>SELLER</w:t>
      </w:r>
      <w:r w:rsidR="00EC40D1" w:rsidRPr="00984305">
        <w:rPr>
          <w:sz w:val="20"/>
          <w:szCs w:val="20"/>
        </w:rPr>
        <w:t xml:space="preserve"> </w:t>
      </w:r>
      <w:r w:rsidR="00984305" w:rsidRPr="00984305">
        <w:rPr>
          <w:sz w:val="20"/>
          <w:szCs w:val="20"/>
        </w:rPr>
        <w:t xml:space="preserve">from any obligations </w:t>
      </w:r>
      <w:r w:rsidR="00D0782E">
        <w:rPr>
          <w:sz w:val="20"/>
          <w:szCs w:val="20"/>
        </w:rPr>
        <w:t>that</w:t>
      </w:r>
      <w:r w:rsidR="00984305" w:rsidRPr="00984305">
        <w:rPr>
          <w:sz w:val="20"/>
          <w:szCs w:val="20"/>
        </w:rPr>
        <w:t xml:space="preserve"> it may have for compliance with the aforesaid regulations.</w:t>
      </w:r>
    </w:p>
    <w:p w:rsidR="00D0782E" w:rsidRPr="00464189" w:rsidRDefault="00D0782E" w:rsidP="00D0782E">
      <w:pPr>
        <w:pStyle w:val="ListParagraph"/>
        <w:spacing w:after="0" w:line="220" w:lineRule="exact"/>
        <w:ind w:left="360"/>
        <w:jc w:val="both"/>
        <w:rPr>
          <w:sz w:val="20"/>
          <w:szCs w:val="20"/>
        </w:rPr>
      </w:pPr>
    </w:p>
    <w:p w:rsidR="006D4193" w:rsidRPr="00464189" w:rsidRDefault="00750651" w:rsidP="001F750D">
      <w:pPr>
        <w:pStyle w:val="ListParagraph"/>
        <w:numPr>
          <w:ilvl w:val="0"/>
          <w:numId w:val="1"/>
        </w:numPr>
        <w:spacing w:after="0" w:line="220" w:lineRule="exact"/>
        <w:jc w:val="both"/>
        <w:rPr>
          <w:sz w:val="20"/>
          <w:szCs w:val="20"/>
        </w:rPr>
      </w:pPr>
      <w:bookmarkStart w:id="6" w:name="Extension_of_Commercial_Warranty"/>
      <w:bookmarkEnd w:id="6"/>
      <w:r w:rsidRPr="00750651">
        <w:rPr>
          <w:b/>
          <w:sz w:val="20"/>
          <w:szCs w:val="20"/>
        </w:rPr>
        <w:t>EXTENSION OF COMMERCIAL WARRANTY</w:t>
      </w:r>
      <w:r w:rsidR="006D4193" w:rsidRPr="00464189">
        <w:rPr>
          <w:b/>
          <w:sz w:val="20"/>
          <w:szCs w:val="20"/>
        </w:rPr>
        <w:t xml:space="preserve">. </w:t>
      </w:r>
      <w:r w:rsidR="005971A9" w:rsidRPr="00464189">
        <w:rPr>
          <w:b/>
          <w:sz w:val="20"/>
          <w:szCs w:val="20"/>
        </w:rPr>
        <w:t xml:space="preserve"> </w:t>
      </w:r>
      <w:hyperlink w:anchor="_top" w:history="1">
        <w:r w:rsidR="006D4193" w:rsidRPr="00464189">
          <w:rPr>
            <w:rStyle w:val="Hyperlink"/>
            <w:b/>
            <w:sz w:val="20"/>
            <w:szCs w:val="20"/>
          </w:rPr>
          <w:t>(back to top)</w:t>
        </w:r>
      </w:hyperlink>
      <w:r w:rsidR="006D4193" w:rsidRPr="00464189">
        <w:rPr>
          <w:sz w:val="20"/>
          <w:szCs w:val="20"/>
        </w:rPr>
        <w:t xml:space="preserve">  </w:t>
      </w:r>
    </w:p>
    <w:p w:rsidR="007A3F81" w:rsidRDefault="00EC40D1" w:rsidP="00757F2A">
      <w:pPr>
        <w:pStyle w:val="ListParagraph"/>
        <w:tabs>
          <w:tab w:val="left" w:pos="360"/>
        </w:tabs>
        <w:spacing w:after="0" w:line="220" w:lineRule="exact"/>
        <w:ind w:left="360"/>
        <w:contextualSpacing w:val="0"/>
        <w:jc w:val="both"/>
        <w:rPr>
          <w:sz w:val="20"/>
          <w:szCs w:val="20"/>
        </w:rPr>
      </w:pPr>
      <w:r>
        <w:rPr>
          <w:sz w:val="20"/>
          <w:szCs w:val="20"/>
        </w:rPr>
        <w:t>SELLER</w:t>
      </w:r>
      <w:r w:rsidRPr="00D0782E">
        <w:rPr>
          <w:sz w:val="20"/>
          <w:szCs w:val="20"/>
        </w:rPr>
        <w:t xml:space="preserve"> </w:t>
      </w:r>
      <w:r w:rsidR="00D0782E" w:rsidRPr="00D0782E">
        <w:rPr>
          <w:sz w:val="20"/>
          <w:szCs w:val="20"/>
        </w:rPr>
        <w:t xml:space="preserve">shall extend to </w:t>
      </w:r>
      <w:r>
        <w:rPr>
          <w:sz w:val="20"/>
          <w:szCs w:val="20"/>
        </w:rPr>
        <w:t xml:space="preserve">BUYER </w:t>
      </w:r>
      <w:r w:rsidR="00D0782E">
        <w:rPr>
          <w:sz w:val="20"/>
          <w:szCs w:val="20"/>
        </w:rPr>
        <w:t xml:space="preserve">and </w:t>
      </w:r>
      <w:r w:rsidR="00D0782E" w:rsidRPr="00D0782E">
        <w:rPr>
          <w:sz w:val="20"/>
          <w:szCs w:val="20"/>
        </w:rPr>
        <w:t xml:space="preserve">the Government the full coverage of any standard commercial warranty normally offered in a similar commercial sale, provided that such warranty is available at no additional cost to </w:t>
      </w:r>
      <w:r>
        <w:rPr>
          <w:sz w:val="20"/>
          <w:szCs w:val="20"/>
        </w:rPr>
        <w:t xml:space="preserve">BUYER </w:t>
      </w:r>
      <w:r w:rsidR="00D0782E">
        <w:rPr>
          <w:sz w:val="20"/>
          <w:szCs w:val="20"/>
        </w:rPr>
        <w:t xml:space="preserve">and </w:t>
      </w:r>
      <w:r w:rsidR="00D0782E" w:rsidRPr="00D0782E">
        <w:rPr>
          <w:sz w:val="20"/>
          <w:szCs w:val="20"/>
        </w:rPr>
        <w:t xml:space="preserve">the Government.  </w:t>
      </w:r>
      <w:r>
        <w:rPr>
          <w:sz w:val="20"/>
          <w:szCs w:val="20"/>
        </w:rPr>
        <w:t>SELLER</w:t>
      </w:r>
      <w:r w:rsidRPr="00D0782E">
        <w:rPr>
          <w:sz w:val="20"/>
          <w:szCs w:val="20"/>
        </w:rPr>
        <w:t xml:space="preserve"> </w:t>
      </w:r>
      <w:r w:rsidR="00D0782E" w:rsidRPr="00D0782E">
        <w:rPr>
          <w:sz w:val="20"/>
          <w:szCs w:val="20"/>
        </w:rPr>
        <w:t xml:space="preserve">shall provide a copy of the standard commercial warranty with the item.  The standard commercial warranty period shall begin upon the final acceptance of the applicable </w:t>
      </w:r>
      <w:r w:rsidR="00E23022">
        <w:rPr>
          <w:sz w:val="20"/>
          <w:szCs w:val="20"/>
        </w:rPr>
        <w:t>Product</w:t>
      </w:r>
      <w:r w:rsidR="00D0782E" w:rsidRPr="00D0782E">
        <w:rPr>
          <w:sz w:val="20"/>
          <w:szCs w:val="20"/>
        </w:rPr>
        <w:t xml:space="preserve">.  Acceptance of the standard commercial warranty does not waive the </w:t>
      </w:r>
      <w:r>
        <w:rPr>
          <w:sz w:val="20"/>
          <w:szCs w:val="20"/>
        </w:rPr>
        <w:t xml:space="preserve">BUYER’s </w:t>
      </w:r>
      <w:r w:rsidR="00D0782E">
        <w:rPr>
          <w:sz w:val="20"/>
          <w:szCs w:val="20"/>
        </w:rPr>
        <w:t xml:space="preserve">or </w:t>
      </w:r>
      <w:r w:rsidR="00D0782E" w:rsidRPr="00D0782E">
        <w:rPr>
          <w:sz w:val="20"/>
          <w:szCs w:val="20"/>
        </w:rPr>
        <w:t>Government’s rights under the “Inspection” clause, no</w:t>
      </w:r>
      <w:r w:rsidR="00D0782E">
        <w:rPr>
          <w:sz w:val="20"/>
          <w:szCs w:val="20"/>
        </w:rPr>
        <w:t>r</w:t>
      </w:r>
      <w:r w:rsidR="00D0782E" w:rsidRPr="00D0782E">
        <w:rPr>
          <w:sz w:val="20"/>
          <w:szCs w:val="20"/>
        </w:rPr>
        <w:t xml:space="preserve"> does it limit </w:t>
      </w:r>
      <w:r w:rsidR="00E23022">
        <w:rPr>
          <w:sz w:val="20"/>
          <w:szCs w:val="20"/>
        </w:rPr>
        <w:t>BUYER’s</w:t>
      </w:r>
      <w:r w:rsidR="00D0782E" w:rsidRPr="00D0782E">
        <w:rPr>
          <w:sz w:val="20"/>
          <w:szCs w:val="20"/>
        </w:rPr>
        <w:t xml:space="preserve"> rights with regard to other terms and conditions of </w:t>
      </w:r>
      <w:r w:rsidR="00D0782E">
        <w:rPr>
          <w:sz w:val="20"/>
          <w:szCs w:val="20"/>
        </w:rPr>
        <w:t>this Order</w:t>
      </w:r>
      <w:r w:rsidR="00D0782E" w:rsidRPr="00D0782E">
        <w:rPr>
          <w:sz w:val="20"/>
          <w:szCs w:val="20"/>
        </w:rPr>
        <w:t xml:space="preserve">.  In the event of a conflict, the terms and conditions of </w:t>
      </w:r>
      <w:r w:rsidR="00D0782E">
        <w:rPr>
          <w:sz w:val="20"/>
          <w:szCs w:val="20"/>
        </w:rPr>
        <w:t>this Order</w:t>
      </w:r>
      <w:r w:rsidR="00D0782E" w:rsidRPr="00D0782E">
        <w:rPr>
          <w:sz w:val="20"/>
          <w:szCs w:val="20"/>
        </w:rPr>
        <w:t xml:space="preserve"> shall take precedence over the standard commercial warranty.</w:t>
      </w:r>
    </w:p>
    <w:p w:rsidR="00757F2A" w:rsidRDefault="00757F2A" w:rsidP="00757F2A">
      <w:pPr>
        <w:pStyle w:val="ListParagraph"/>
        <w:tabs>
          <w:tab w:val="left" w:pos="360"/>
        </w:tabs>
        <w:spacing w:after="0" w:line="220" w:lineRule="exact"/>
        <w:ind w:left="360"/>
        <w:contextualSpacing w:val="0"/>
        <w:jc w:val="both"/>
        <w:rPr>
          <w:sz w:val="20"/>
          <w:szCs w:val="20"/>
        </w:rPr>
      </w:pPr>
    </w:p>
    <w:p w:rsidR="00D0782E" w:rsidRPr="00274A5C" w:rsidRDefault="00750651" w:rsidP="001F750D">
      <w:pPr>
        <w:pStyle w:val="list1"/>
        <w:numPr>
          <w:ilvl w:val="0"/>
          <w:numId w:val="8"/>
        </w:numPr>
        <w:tabs>
          <w:tab w:val="clear" w:pos="600"/>
          <w:tab w:val="num" w:pos="360"/>
        </w:tabs>
        <w:spacing w:before="0" w:after="0"/>
      </w:pPr>
      <w:bookmarkStart w:id="7" w:name="Printing_of_Tech_Manuals_Publications"/>
      <w:bookmarkEnd w:id="7"/>
      <w:r w:rsidRPr="007A3F81">
        <w:rPr>
          <w:rFonts w:asciiTheme="minorHAnsi" w:hAnsiTheme="minorHAnsi"/>
          <w:b/>
        </w:rPr>
        <w:t>PRINTING OF TECHNICAL MANUALS, PUBLICATIONS, CHANGES, REVISIONS AND AMENDMENTS</w:t>
      </w:r>
      <w:r w:rsidR="006D4193" w:rsidRPr="007A3F81">
        <w:rPr>
          <w:rFonts w:asciiTheme="minorHAnsi" w:hAnsiTheme="minorHAnsi"/>
          <w:b/>
        </w:rPr>
        <w:t>.</w:t>
      </w:r>
      <w:r w:rsidR="005971A9" w:rsidRPr="00504908">
        <w:t xml:space="preserve"> </w:t>
      </w:r>
      <w:hyperlink w:anchor="_top" w:history="1">
        <w:r w:rsidR="004F3BF3" w:rsidRPr="00757F2A">
          <w:rPr>
            <w:rFonts w:asciiTheme="minorHAnsi" w:hAnsiTheme="minorHAnsi"/>
          </w:rPr>
          <w:t xml:space="preserve"> </w:t>
        </w:r>
        <w:r w:rsidR="004F3BF3" w:rsidRPr="00757F2A">
          <w:rPr>
            <w:rStyle w:val="Hyperlink"/>
            <w:rFonts w:asciiTheme="minorHAnsi" w:hAnsiTheme="minorHAnsi"/>
            <w:b/>
          </w:rPr>
          <w:t>(back to top)</w:t>
        </w:r>
      </w:hyperlink>
      <w:r w:rsidR="006D4193" w:rsidRPr="00757F2A">
        <w:rPr>
          <w:rFonts w:asciiTheme="minorHAnsi" w:hAnsiTheme="minorHAnsi"/>
        </w:rPr>
        <w:t xml:space="preserve">  </w:t>
      </w:r>
    </w:p>
    <w:p w:rsidR="00D0782E" w:rsidRPr="003E1E3C" w:rsidRDefault="00F73DEC" w:rsidP="001F750D">
      <w:pPr>
        <w:pStyle w:val="list1"/>
        <w:widowControl/>
        <w:numPr>
          <w:ilvl w:val="1"/>
          <w:numId w:val="6"/>
        </w:numPr>
        <w:tabs>
          <w:tab w:val="num" w:pos="720"/>
        </w:tabs>
        <w:spacing w:before="0" w:after="0" w:line="220" w:lineRule="exact"/>
        <w:ind w:left="720"/>
        <w:rPr>
          <w:rFonts w:asciiTheme="minorHAnsi" w:hAnsiTheme="minorHAnsi"/>
        </w:rPr>
      </w:pPr>
      <w:r>
        <w:rPr>
          <w:rFonts w:asciiTheme="minorHAnsi" w:hAnsiTheme="minorHAnsi"/>
        </w:rPr>
        <w:t>T</w:t>
      </w:r>
      <w:r w:rsidR="00D0782E" w:rsidRPr="003E1E3C">
        <w:rPr>
          <w:rFonts w:asciiTheme="minorHAnsi" w:hAnsiTheme="minorHAnsi"/>
        </w:rPr>
        <w:t>he printing, duplication, and binding of all technical manuals, books, and other publications, and changes, amendments, and revisions thereto, including all copies and portions of such documents which are required to be prepared and furnished under this Order for review, approval or otherwise, shall be accomplished in accordance with the following:</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DOD Instruction 5330.03, Document Automation &amp; Production Service (DAPS) of February 8, 2006;</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Federal Acquisition Regulation (FAR) Subparts 8.8 and 17.5, as in effect on the date of the Prime Contract; and</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 xml:space="preserve">“Government Printing and Binding Regulations,” published by the Joint Committee on Printing, Congress of the United States, as in effect on the date of the Prime Contract. </w:t>
      </w:r>
    </w:p>
    <w:p w:rsidR="00D0782E" w:rsidRPr="003E1E3C" w:rsidRDefault="00D0782E" w:rsidP="001F750D">
      <w:pPr>
        <w:pStyle w:val="listaitype"/>
        <w:widowControl/>
        <w:numPr>
          <w:ilvl w:val="1"/>
          <w:numId w:val="4"/>
        </w:numPr>
        <w:tabs>
          <w:tab w:val="num" w:pos="720"/>
        </w:tabs>
        <w:spacing w:before="0" w:after="0" w:line="220" w:lineRule="exact"/>
        <w:ind w:left="720"/>
        <w:jc w:val="both"/>
        <w:rPr>
          <w:rFonts w:asciiTheme="minorHAnsi" w:hAnsiTheme="minorHAnsi"/>
        </w:rPr>
      </w:pPr>
      <w:r w:rsidRPr="003E1E3C">
        <w:rPr>
          <w:rFonts w:asciiTheme="minorHAnsi" w:hAnsiTheme="minorHAnsi"/>
        </w:rPr>
        <w:t>Publications and other printed or duplicated material which (1) are prepared and carried by equipment manufacturers for regular commercial sale or use, and (2) require no significant modification for military use or to meet the requirements of this Order, or (3) are normally supplied for commercial equipment, shall be provided by SELLER.  Except for material falling within (1) through (3) of this paragraph, the printing of technical manuals, publications, changes, revisions, or amendments by the SELLER is prohibited.</w:t>
      </w:r>
    </w:p>
    <w:p w:rsidR="00D0782E" w:rsidRPr="003E1E3C" w:rsidRDefault="00D0782E" w:rsidP="001F750D">
      <w:pPr>
        <w:pStyle w:val="list1"/>
        <w:widowControl/>
        <w:numPr>
          <w:ilvl w:val="1"/>
          <w:numId w:val="4"/>
        </w:numPr>
        <w:tabs>
          <w:tab w:val="num" w:pos="720"/>
        </w:tabs>
        <w:spacing w:before="0" w:after="0" w:line="220" w:lineRule="exact"/>
        <w:ind w:left="720"/>
        <w:rPr>
          <w:rFonts w:asciiTheme="minorHAnsi" w:hAnsiTheme="minorHAnsi"/>
        </w:rPr>
      </w:pPr>
      <w:r w:rsidRPr="003E1E3C">
        <w:rPr>
          <w:rFonts w:asciiTheme="minorHAnsi" w:hAnsiTheme="minorHAnsi"/>
        </w:rPr>
        <w:t>SELLER shall have the printing and binding of final approved technical manuals, publications, changes, revisions and amendments thereto, as required under this Order (whether prepared by SELLER or a subcontractor), printed at Government expense by or through the Defense Automation and Production Service (DAPS) in the Naval District in which the Contractor is located, in accordance with the following general procedures:</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Prior to preparation of materials for printing (photolithographic negatives, camera-ready copies or digital media (CD/DVD) by SELLER or a subcontractor, SELLER shall make arrangements with the DAPS and with the designated Contract Administration Office for printing and binding that shall include:</w:t>
      </w:r>
    </w:p>
    <w:p w:rsidR="00BF4C59" w:rsidRDefault="00BF4C59"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Citation of Prime Contract number;</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Security classification of materials to be printed;</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 xml:space="preserve">Establishment of a schedule for printing, including estimated delivery date to DAPS; </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Provisions for furnishing photolithographic negatives or camera-ready copies and art work in the proper sequence for printing;</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A check-off list to verify the printing sequence of test pages and foldouts in the form prescribed by DAPS;</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Complete printing instructions, which shall specify colors, if required for specific pages, the trim size, including apron, if required, for each foldout/in or chart, or other unique requirements;</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Type of binding (side stitch, perfect bound, saddle stitch, glue bound, tape bound plastic comb/wire bound, loose leaf, screw posts, etc.); and</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Other instructions, as applicable, such as packing instructions, banded, shrink pack, strap, binders, fill and seal cartons/boxes, inset padding of any type of envelope, water type packaging or other container quantity for each addressee, required delivery schedule, or delivery instructions. (SELLER shall provide an address list and addressed mailing labels for each addressee.)</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Special handling of classified materials from Confidential up to Top Secret requiring printing through DAPS or the GPO are managed in accordance with DODD 5200.32. Contact the appropriate DAPS location before delivering classified originals to ensure proper handling and disposition.</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SELLER shall ship the complete set of photolithographic negatives, camera-ready copies or digital media (CD/DVD) required to be printed in accordance with the detailed procedures specified by DAPS.</w:t>
      </w:r>
      <w:r w:rsidR="00EC40D1">
        <w:rPr>
          <w:rFonts w:asciiTheme="minorHAnsi" w:hAnsiTheme="minorHAnsi"/>
        </w:rPr>
        <w:t xml:space="preserve"> </w:t>
      </w:r>
      <w:r w:rsidRPr="003E1E3C">
        <w:rPr>
          <w:rFonts w:asciiTheme="minorHAnsi" w:hAnsiTheme="minorHAnsi"/>
        </w:rPr>
        <w:t xml:space="preserve"> All transportation charges are paid to DAPS or a contract printer designated by DAPS.  The DAPS shall sign the acceptance block of the DD Form 250 for reproducible quality only.</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For steam and electrical plant composite diagrams, SELLER shall provide an original Mylar print or digital media (CD/DVD) of the diagram to the DAPS with a guide indicating the color of each line. DAPS will prepare the color separation negatives for the composite diagram and return those to SELLER for editorial review. DAPS will correct any errors and print the corrected composite diagram.</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DAPS will furnish or provide for all supplies and services (including binders) which are necessary to accomplish the printing and binding.</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DAPS will pack and ship or provide for packing and shipping of the printed material to SELLER and the distribution list furnished by SELLER in accordance with the printing order, unless distribution by SELLER is otherwise required by the terms of this Order, the specifications, or otherwise, in which case the printed and bound publications will be returned to SELLER for distribution.</w:t>
      </w:r>
    </w:p>
    <w:p w:rsidR="00D0782E"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DAPS will pack and ship the material used for printing to the DAPS, 4</w:t>
      </w:r>
      <w:r w:rsidRPr="003E1E3C">
        <w:rPr>
          <w:rFonts w:asciiTheme="minorHAnsi" w:hAnsiTheme="minorHAnsi"/>
          <w:vertAlign w:val="superscript"/>
        </w:rPr>
        <w:t>th</w:t>
      </w:r>
      <w:r w:rsidRPr="003E1E3C">
        <w:rPr>
          <w:rFonts w:asciiTheme="minorHAnsi" w:hAnsiTheme="minorHAnsi"/>
        </w:rPr>
        <w:t xml:space="preserve"> Naval District (Philadelphia, PA), for storage.</w:t>
      </w:r>
    </w:p>
    <w:p w:rsidR="00EA3E38" w:rsidRPr="00EA3E38" w:rsidRDefault="00BF4C59" w:rsidP="001F750D">
      <w:pPr>
        <w:pStyle w:val="BodyTextIndent2"/>
        <w:numPr>
          <w:ilvl w:val="1"/>
          <w:numId w:val="4"/>
        </w:numPr>
        <w:tabs>
          <w:tab w:val="clear" w:pos="1140"/>
          <w:tab w:val="left" w:pos="720"/>
        </w:tabs>
        <w:spacing w:before="0" w:after="0" w:line="220" w:lineRule="exact"/>
        <w:ind w:left="720"/>
        <w:rPr>
          <w:rFonts w:asciiTheme="minorHAnsi" w:hAnsiTheme="minorHAnsi"/>
        </w:rPr>
      </w:pPr>
      <w:r w:rsidRPr="00EA3E38">
        <w:rPr>
          <w:rFonts w:asciiTheme="minorHAnsi" w:hAnsiTheme="minorHAnsi"/>
        </w:rPr>
        <w:t>In establi</w:t>
      </w:r>
      <w:r w:rsidR="00EA3E38">
        <w:rPr>
          <w:rFonts w:asciiTheme="minorHAnsi" w:hAnsiTheme="minorHAnsi"/>
        </w:rPr>
        <w:t>shing the schedule for printing,</w:t>
      </w:r>
      <w:r w:rsidRPr="00EA3E38">
        <w:rPr>
          <w:rFonts w:asciiTheme="minorHAnsi" w:hAnsiTheme="minorHAnsi"/>
        </w:rPr>
        <w:t xml:space="preserve"> </w:t>
      </w:r>
    </w:p>
    <w:p w:rsidR="00BF4C59" w:rsidRPr="003E1E3C" w:rsidRDefault="00BF4C59" w:rsidP="001F750D">
      <w:pPr>
        <w:pStyle w:val="BodyTextIndent2"/>
        <w:numPr>
          <w:ilvl w:val="2"/>
          <w:numId w:val="4"/>
        </w:numPr>
        <w:tabs>
          <w:tab w:val="clear" w:pos="1140"/>
          <w:tab w:val="left" w:pos="720"/>
        </w:tabs>
        <w:spacing w:before="0" w:after="0" w:line="220" w:lineRule="exact"/>
        <w:ind w:left="1152"/>
        <w:rPr>
          <w:rFonts w:asciiTheme="minorHAnsi" w:hAnsiTheme="minorHAnsi"/>
        </w:rPr>
      </w:pPr>
      <w:r w:rsidRPr="003E1E3C">
        <w:rPr>
          <w:rFonts w:asciiTheme="minorHAnsi" w:hAnsiTheme="minorHAnsi"/>
        </w:rPr>
        <w:t>SELLER shall provide for furnishing the photolithographic negatives, camera-ready copies or digital media (CD/DVD) to DAPS in time to allow at least the minimum number of working days specified in the schedule below (eight-hour day, five days per week exclusive of Saturdays, Sundays, and holidays) from date of acceptance of material for printing at DAPS to date of shipment of printed material from DAPS.</w:t>
      </w:r>
    </w:p>
    <w:p w:rsidR="00BF4C59" w:rsidRPr="003E1E3C" w:rsidRDefault="00BF4C59" w:rsidP="00BF4C59">
      <w:pPr>
        <w:tabs>
          <w:tab w:val="left" w:pos="6480"/>
        </w:tabs>
        <w:spacing w:after="0" w:line="220" w:lineRule="exact"/>
        <w:ind w:left="1800"/>
        <w:rPr>
          <w:sz w:val="20"/>
          <w:szCs w:val="20"/>
          <w:u w:val="single"/>
        </w:rPr>
      </w:pPr>
      <w:r w:rsidRPr="003E1E3C">
        <w:rPr>
          <w:sz w:val="20"/>
          <w:szCs w:val="20"/>
        </w:rPr>
        <w:tab/>
        <w:t>Minimum number of working</w:t>
      </w:r>
      <w:r w:rsidRPr="003E1E3C">
        <w:rPr>
          <w:sz w:val="20"/>
          <w:szCs w:val="20"/>
        </w:rPr>
        <w:br/>
      </w:r>
      <w:r w:rsidRPr="003E1E3C">
        <w:rPr>
          <w:sz w:val="20"/>
          <w:szCs w:val="20"/>
          <w:u w:val="single"/>
        </w:rPr>
        <w:t>Printing</w:t>
      </w:r>
      <w:r w:rsidRPr="003E1E3C">
        <w:rPr>
          <w:sz w:val="20"/>
          <w:szCs w:val="20"/>
        </w:rPr>
        <w:tab/>
        <w:t xml:space="preserve"> </w:t>
      </w:r>
      <w:r w:rsidRPr="003E1E3C">
        <w:rPr>
          <w:sz w:val="20"/>
          <w:szCs w:val="20"/>
          <w:u w:val="single"/>
        </w:rPr>
        <w:t>days required by DAPS</w:t>
      </w:r>
    </w:p>
    <w:p w:rsidR="00BF4C59" w:rsidRDefault="00BF4C59" w:rsidP="00BF4C59">
      <w:pPr>
        <w:tabs>
          <w:tab w:val="left" w:pos="1800"/>
          <w:tab w:val="left" w:pos="7560"/>
        </w:tabs>
        <w:spacing w:after="0" w:line="220" w:lineRule="exact"/>
        <w:ind w:left="1800"/>
        <w:rPr>
          <w:sz w:val="20"/>
          <w:szCs w:val="20"/>
        </w:rPr>
      </w:pPr>
      <w:r w:rsidRPr="003E1E3C">
        <w:rPr>
          <w:sz w:val="20"/>
          <w:szCs w:val="20"/>
        </w:rPr>
        <w:t>Up to 200 Pages</w:t>
      </w:r>
      <w:r w:rsidRPr="003E1E3C">
        <w:rPr>
          <w:sz w:val="20"/>
          <w:szCs w:val="20"/>
        </w:rPr>
        <w:tab/>
        <w:t>30</w:t>
      </w:r>
      <w:r w:rsidRPr="003E1E3C">
        <w:rPr>
          <w:sz w:val="20"/>
          <w:szCs w:val="20"/>
        </w:rPr>
        <w:br/>
        <w:t>201 pages to 400 pages inclusive</w:t>
      </w:r>
      <w:r w:rsidRPr="003E1E3C">
        <w:rPr>
          <w:sz w:val="20"/>
          <w:szCs w:val="20"/>
        </w:rPr>
        <w:tab/>
        <w:t>40</w:t>
      </w:r>
      <w:r w:rsidRPr="003E1E3C">
        <w:rPr>
          <w:sz w:val="20"/>
          <w:szCs w:val="20"/>
        </w:rPr>
        <w:br/>
        <w:t>401 pages to 600 pages inclusive</w:t>
      </w:r>
      <w:r w:rsidRPr="003E1E3C">
        <w:rPr>
          <w:sz w:val="20"/>
          <w:szCs w:val="20"/>
        </w:rPr>
        <w:tab/>
        <w:t>50</w:t>
      </w:r>
      <w:r w:rsidRPr="003E1E3C">
        <w:rPr>
          <w:sz w:val="20"/>
          <w:szCs w:val="20"/>
        </w:rPr>
        <w:br/>
        <w:t>601 pages and over</w:t>
      </w:r>
      <w:r w:rsidRPr="003E1E3C">
        <w:rPr>
          <w:sz w:val="20"/>
          <w:szCs w:val="20"/>
        </w:rPr>
        <w:tab/>
        <w:t>60</w:t>
      </w:r>
    </w:p>
    <w:p w:rsidR="00BF4C59" w:rsidRPr="003E1E3C" w:rsidRDefault="00BF4C59" w:rsidP="00BF4C59">
      <w:pPr>
        <w:tabs>
          <w:tab w:val="left" w:pos="1800"/>
          <w:tab w:val="left" w:pos="7560"/>
        </w:tabs>
        <w:spacing w:after="0" w:line="220" w:lineRule="exact"/>
        <w:ind w:left="1800"/>
        <w:rPr>
          <w:sz w:val="20"/>
          <w:szCs w:val="20"/>
        </w:rPr>
      </w:pPr>
    </w:p>
    <w:p w:rsidR="00BF4C59" w:rsidRPr="00A97995" w:rsidRDefault="00BF4C59" w:rsidP="001F750D">
      <w:pPr>
        <w:pStyle w:val="ListParagraph"/>
        <w:numPr>
          <w:ilvl w:val="0"/>
          <w:numId w:val="4"/>
        </w:numPr>
        <w:spacing w:after="0" w:line="220" w:lineRule="exact"/>
        <w:rPr>
          <w:sz w:val="20"/>
          <w:szCs w:val="20"/>
        </w:rPr>
      </w:pPr>
      <w:r w:rsidRPr="00A97995">
        <w:rPr>
          <w:sz w:val="20"/>
          <w:szCs w:val="20"/>
        </w:rPr>
        <w:t xml:space="preserve">If DAPS exceeds the delivery requirements established in accordance with </w:t>
      </w:r>
      <w:r w:rsidR="00EC40D1">
        <w:rPr>
          <w:sz w:val="20"/>
          <w:szCs w:val="20"/>
        </w:rPr>
        <w:t>sub</w:t>
      </w:r>
      <w:r w:rsidRPr="00A97995">
        <w:rPr>
          <w:sz w:val="20"/>
          <w:szCs w:val="20"/>
        </w:rPr>
        <w:t xml:space="preserve">paragraph </w:t>
      </w:r>
      <w:r w:rsidR="00EC40D1">
        <w:rPr>
          <w:sz w:val="20"/>
          <w:szCs w:val="20"/>
        </w:rPr>
        <w:t>C(i)(3)</w:t>
      </w:r>
      <w:r w:rsidRPr="00A97995">
        <w:rPr>
          <w:sz w:val="20"/>
          <w:szCs w:val="20"/>
        </w:rPr>
        <w:t xml:space="preserve"> for the item(s) specified, the time shall be extended by an equivalent number of working days, provided that SELLER requests such extensions, in writing, to the BUYER’s Contracting Officer and submits with its request sufficient evidence to enable the BUYER’s Contracting Officer to determine the validity of SELLER’s request.  If performance of all or part of the work under this Order is delayed or interrupted by said late shipment by DAPS, and if the Government makes an adjustment to the Prime Contract pursuant to the “GOVERNMENT DELAY OF WORK” (FAR 52.242-17) clause of the Prime Contract, BUYER shall make an appropriate adjustment to this Order.</w:t>
      </w:r>
    </w:p>
    <w:p w:rsidR="00D0782E" w:rsidRPr="003E1E3C" w:rsidRDefault="00DA2CAB" w:rsidP="003E1E3C">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E.</w:t>
      </w:r>
      <w:r w:rsidR="00D0782E" w:rsidRPr="003E1E3C">
        <w:rPr>
          <w:rFonts w:asciiTheme="minorHAnsi" w:hAnsiTheme="minorHAnsi"/>
        </w:rPr>
        <w:t xml:space="preserve">  </w:t>
      </w:r>
      <w:r w:rsidR="00D0782E" w:rsidRPr="003E1E3C">
        <w:rPr>
          <w:rFonts w:asciiTheme="minorHAnsi" w:hAnsiTheme="minorHAnsi"/>
        </w:rPr>
        <w:tab/>
        <w:t>SELLER shall not be responsible for the quality, or quality control, of printing performed by DAPS or a printer under contract to DAPS, and if the Government shall reimburse the BUYER for any costs incurred on account of replacement of material lost or damaged by DAPS or a printer under contract to DAPS, BUYER will likewise reimburse SELLER.  If such loss or damage of material causes a delay or interruption of performance of all or any part of the work under this Order, an adjustment shall be made pursuant to this Order if the Prime Contract is adjusted pursuant to the “GOVERNMENT DELAY OF WORK” clause of the Prime Contract.</w:t>
      </w:r>
    </w:p>
    <w:p w:rsidR="00D0782E" w:rsidRPr="003E1E3C" w:rsidRDefault="00DA2CAB" w:rsidP="003E1E3C">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F.</w:t>
      </w:r>
      <w:r w:rsidR="00D0782E" w:rsidRPr="003E1E3C">
        <w:rPr>
          <w:rFonts w:asciiTheme="minorHAnsi" w:hAnsiTheme="minorHAnsi"/>
        </w:rPr>
        <w:t xml:space="preserve"> </w:t>
      </w:r>
      <w:r w:rsidR="00D0782E" w:rsidRPr="003E1E3C">
        <w:rPr>
          <w:rFonts w:asciiTheme="minorHAnsi" w:hAnsiTheme="minorHAnsi"/>
        </w:rPr>
        <w:tab/>
        <w:t xml:space="preserve">The costs of printing, binding, packing and distribution by DAPS of the publications and changes described herein (but not the costs of preparing photolithographic negatives, camera-ready copies and other materials for printing and the costs of transporting or shipping such materials to DAPS or a contract printer designated by DAPS) shall be borne by </w:t>
      </w:r>
      <w:r w:rsidR="00E23022">
        <w:rPr>
          <w:rFonts w:asciiTheme="minorHAnsi" w:hAnsiTheme="minorHAnsi"/>
        </w:rPr>
        <w:t>BUYER on behalf of the Government</w:t>
      </w:r>
      <w:r w:rsidR="00D0782E" w:rsidRPr="003E1E3C">
        <w:rPr>
          <w:rFonts w:asciiTheme="minorHAnsi" w:hAnsiTheme="minorHAnsi"/>
        </w:rPr>
        <w:t>.</w:t>
      </w:r>
    </w:p>
    <w:p w:rsidR="006D4193" w:rsidRDefault="00DA2CAB" w:rsidP="003E1E3C">
      <w:pPr>
        <w:pStyle w:val="ListParagraph"/>
        <w:spacing w:after="0" w:line="220" w:lineRule="exact"/>
        <w:ind w:hanging="360"/>
        <w:contextualSpacing w:val="0"/>
        <w:jc w:val="both"/>
        <w:rPr>
          <w:sz w:val="20"/>
          <w:szCs w:val="20"/>
        </w:rPr>
      </w:pPr>
      <w:r w:rsidRPr="003E1E3C">
        <w:rPr>
          <w:sz w:val="20"/>
          <w:szCs w:val="20"/>
        </w:rPr>
        <w:t>G.</w:t>
      </w:r>
      <w:r w:rsidR="00D0782E" w:rsidRPr="003E1E3C">
        <w:rPr>
          <w:sz w:val="20"/>
          <w:szCs w:val="20"/>
        </w:rPr>
        <w:t xml:space="preserve"> </w:t>
      </w:r>
      <w:r w:rsidR="00D0782E" w:rsidRPr="003E1E3C">
        <w:rPr>
          <w:sz w:val="20"/>
          <w:szCs w:val="20"/>
        </w:rPr>
        <w:tab/>
        <w:t xml:space="preserve">BUYER agrees to cooperate with SELLER to ensure compliance with this clause.  </w:t>
      </w:r>
    </w:p>
    <w:p w:rsidR="007A3F81" w:rsidRPr="003E1E3C" w:rsidRDefault="007A3F81" w:rsidP="003E1E3C">
      <w:pPr>
        <w:pStyle w:val="ListParagraph"/>
        <w:spacing w:after="0" w:line="220" w:lineRule="exact"/>
        <w:ind w:hanging="360"/>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8" w:name="Contractor_Safety_Health_Reqs"/>
      <w:bookmarkStart w:id="9" w:name="Identification_Marking_of_Parts"/>
      <w:bookmarkEnd w:id="8"/>
      <w:bookmarkEnd w:id="9"/>
      <w:r w:rsidRPr="00DA2CAB">
        <w:rPr>
          <w:b/>
          <w:sz w:val="20"/>
          <w:szCs w:val="20"/>
        </w:rPr>
        <w:t>IDENTIFICATION MARKING OF PARTS</w:t>
      </w:r>
      <w:r w:rsidR="006D4193" w:rsidRPr="00DA2CAB">
        <w:rPr>
          <w:b/>
          <w:sz w:val="20"/>
          <w:szCs w:val="20"/>
        </w:rPr>
        <w:t xml:space="preserve">. </w:t>
      </w:r>
      <w:r w:rsidR="005971A9" w:rsidRPr="00DA2CAB">
        <w:rPr>
          <w:b/>
          <w:sz w:val="20"/>
          <w:szCs w:val="20"/>
        </w:rPr>
        <w:t xml:space="preserve"> </w:t>
      </w:r>
      <w:hyperlink w:anchor="_top" w:history="1">
        <w:r w:rsidR="006D4193" w:rsidRPr="00DA2CAB">
          <w:rPr>
            <w:rStyle w:val="Hyperlink"/>
            <w:b/>
            <w:sz w:val="20"/>
            <w:szCs w:val="20"/>
          </w:rPr>
          <w:t>(back to top)</w:t>
        </w:r>
      </w:hyperlink>
      <w:r w:rsidR="006D4193" w:rsidRPr="00DA2CAB">
        <w:rPr>
          <w:sz w:val="20"/>
          <w:szCs w:val="20"/>
        </w:rPr>
        <w:t xml:space="preserve">  </w:t>
      </w:r>
    </w:p>
    <w:p w:rsidR="00AE1816" w:rsidRPr="00AE1816" w:rsidRDefault="00AE1816" w:rsidP="0007755A">
      <w:pPr>
        <w:pStyle w:val="ListParagraph"/>
        <w:spacing w:after="120" w:line="220" w:lineRule="exact"/>
        <w:ind w:left="360"/>
        <w:jc w:val="both"/>
        <w:rPr>
          <w:sz w:val="20"/>
          <w:szCs w:val="20"/>
        </w:rPr>
      </w:pPr>
      <w:r w:rsidRPr="00AE1816">
        <w:rPr>
          <w:sz w:val="20"/>
          <w:szCs w:val="20"/>
        </w:rPr>
        <w:t>Identification marking of individual parts within the systems, equipments,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w:t>
      </w:r>
    </w:p>
    <w:p w:rsidR="00AE1816" w:rsidRPr="00AE1816" w:rsidRDefault="0007755A" w:rsidP="003E1E3C">
      <w:pPr>
        <w:pStyle w:val="ListParagraph"/>
        <w:tabs>
          <w:tab w:val="left" w:pos="1080"/>
        </w:tabs>
        <w:spacing w:after="120" w:line="220" w:lineRule="exact"/>
        <w:ind w:left="1080" w:hanging="360"/>
        <w:jc w:val="both"/>
        <w:rPr>
          <w:sz w:val="20"/>
          <w:szCs w:val="20"/>
        </w:rPr>
      </w:pPr>
      <w:r>
        <w:rPr>
          <w:sz w:val="20"/>
          <w:szCs w:val="20"/>
        </w:rPr>
        <w:t>(1)</w:t>
      </w:r>
      <w:r w:rsidR="00AE1816" w:rsidRPr="00AE1816">
        <w:rPr>
          <w:sz w:val="20"/>
          <w:szCs w:val="20"/>
        </w:rPr>
        <w:t xml:space="preserve"> </w:t>
      </w:r>
      <w:r w:rsidR="003E1E3C">
        <w:rPr>
          <w:sz w:val="20"/>
          <w:szCs w:val="20"/>
        </w:rPr>
        <w:tab/>
      </w:r>
      <w:r w:rsidR="00E23022">
        <w:rPr>
          <w:sz w:val="20"/>
          <w:szCs w:val="20"/>
        </w:rPr>
        <w:t xml:space="preserve">Parts </w:t>
      </w:r>
      <w:r w:rsidR="00AE1816" w:rsidRPr="00AE1816">
        <w:rPr>
          <w:sz w:val="20"/>
          <w:szCs w:val="20"/>
        </w:rPr>
        <w:t>shall be marked in accordance with generally accepted commercial practice.</w:t>
      </w:r>
    </w:p>
    <w:p w:rsidR="007B5051" w:rsidRDefault="0007755A" w:rsidP="00E23022">
      <w:pPr>
        <w:pStyle w:val="ListParagraph"/>
        <w:tabs>
          <w:tab w:val="left" w:pos="1080"/>
        </w:tabs>
        <w:spacing w:after="120" w:line="220" w:lineRule="exact"/>
        <w:jc w:val="both"/>
        <w:rPr>
          <w:sz w:val="20"/>
          <w:szCs w:val="20"/>
        </w:rPr>
      </w:pPr>
      <w:r>
        <w:rPr>
          <w:sz w:val="20"/>
          <w:szCs w:val="20"/>
        </w:rPr>
        <w:t>(2)</w:t>
      </w:r>
      <w:r w:rsidR="003E1E3C">
        <w:rPr>
          <w:sz w:val="20"/>
          <w:szCs w:val="20"/>
        </w:rPr>
        <w:tab/>
      </w:r>
      <w:r w:rsidR="00E23022">
        <w:rPr>
          <w:sz w:val="20"/>
          <w:szCs w:val="20"/>
        </w:rPr>
        <w:t>I</w:t>
      </w:r>
      <w:r w:rsidR="00AE1816" w:rsidRPr="00AE1816">
        <w:rPr>
          <w:sz w:val="20"/>
          <w:szCs w:val="20"/>
        </w:rPr>
        <w:t>n cases where parts are so small as not to permit identification marking as provided above, such parts shall be appropriately coded so as to permit ready identification</w:t>
      </w:r>
      <w:r w:rsidR="006D4193" w:rsidRPr="00464189">
        <w:rPr>
          <w:sz w:val="20"/>
          <w:szCs w:val="20"/>
        </w:rPr>
        <w:t>.</w:t>
      </w:r>
    </w:p>
    <w:p w:rsidR="00F73DEC" w:rsidRDefault="00F73DEC" w:rsidP="00F73DEC">
      <w:pPr>
        <w:pStyle w:val="ListParagraph"/>
        <w:spacing w:after="0" w:line="220" w:lineRule="exact"/>
        <w:ind w:hanging="360"/>
        <w:contextualSpacing w:val="0"/>
        <w:jc w:val="both"/>
        <w:rPr>
          <w:sz w:val="20"/>
          <w:szCs w:val="20"/>
        </w:rPr>
      </w:pPr>
    </w:p>
    <w:p w:rsidR="00AE1816" w:rsidRPr="00AE1816" w:rsidRDefault="00DA2CAB" w:rsidP="001F750D">
      <w:pPr>
        <w:pStyle w:val="ListParagraph"/>
        <w:numPr>
          <w:ilvl w:val="0"/>
          <w:numId w:val="7"/>
        </w:numPr>
        <w:spacing w:before="240" w:after="0" w:line="220" w:lineRule="exact"/>
        <w:jc w:val="both"/>
        <w:rPr>
          <w:sz w:val="20"/>
          <w:szCs w:val="20"/>
        </w:rPr>
      </w:pPr>
      <w:bookmarkStart w:id="10" w:name="Marking_and_Packing_Lists"/>
      <w:bookmarkEnd w:id="10"/>
      <w:r w:rsidRPr="00DA2CAB">
        <w:rPr>
          <w:b/>
          <w:sz w:val="20"/>
          <w:szCs w:val="20"/>
        </w:rPr>
        <w:t>MARKING AND PACKING LIST(S)</w:t>
      </w:r>
      <w:r w:rsidR="006D4193" w:rsidRPr="00464189">
        <w:rPr>
          <w:b/>
          <w:sz w:val="20"/>
          <w:szCs w:val="20"/>
        </w:rPr>
        <w:t xml:space="preserve">. </w:t>
      </w:r>
      <w:hyperlink w:anchor="_top" w:history="1">
        <w:r w:rsidR="006D4193" w:rsidRPr="00464189">
          <w:rPr>
            <w:rStyle w:val="Hyperlink"/>
            <w:b/>
            <w:sz w:val="20"/>
            <w:szCs w:val="20"/>
            <w:u w:val="none"/>
          </w:rPr>
          <w:t xml:space="preserve"> </w:t>
        </w:r>
        <w:r w:rsidR="006D4193" w:rsidRPr="00464189">
          <w:rPr>
            <w:rStyle w:val="Hyperlink"/>
            <w:b/>
            <w:sz w:val="20"/>
            <w:szCs w:val="20"/>
          </w:rPr>
          <w:t>(back to top)</w:t>
        </w:r>
      </w:hyperlink>
      <w:r w:rsidR="006D4193" w:rsidRPr="00464189">
        <w:rPr>
          <w:sz w:val="20"/>
          <w:szCs w:val="20"/>
        </w:rPr>
        <w:t xml:space="preserve">  </w:t>
      </w:r>
    </w:p>
    <w:p w:rsidR="00AE1816" w:rsidRPr="00AE1816" w:rsidRDefault="00AE1816" w:rsidP="001F750D">
      <w:pPr>
        <w:pStyle w:val="ListParagraph"/>
        <w:numPr>
          <w:ilvl w:val="3"/>
          <w:numId w:val="11"/>
        </w:numPr>
        <w:tabs>
          <w:tab w:val="left" w:pos="720"/>
        </w:tabs>
        <w:spacing w:before="240" w:after="0" w:line="220" w:lineRule="exact"/>
        <w:ind w:left="720"/>
        <w:jc w:val="both"/>
        <w:rPr>
          <w:sz w:val="20"/>
          <w:szCs w:val="20"/>
        </w:rPr>
      </w:pPr>
      <w:r w:rsidRPr="0007755A">
        <w:rPr>
          <w:sz w:val="20"/>
          <w:szCs w:val="20"/>
          <w:u w:val="single"/>
        </w:rPr>
        <w:t>Marking</w:t>
      </w:r>
      <w:r w:rsidRPr="00AE1816">
        <w:rPr>
          <w:sz w:val="20"/>
          <w:szCs w:val="20"/>
        </w:rPr>
        <w:t xml:space="preserve">.  Shipments, shipping containers and palletized unit loads shall be marked in accordance with MIL-STD-129P with change </w:t>
      </w:r>
      <w:r w:rsidR="00E23022">
        <w:rPr>
          <w:sz w:val="20"/>
          <w:szCs w:val="20"/>
        </w:rPr>
        <w:t>3</w:t>
      </w:r>
      <w:r w:rsidRPr="00AE1816">
        <w:rPr>
          <w:sz w:val="20"/>
          <w:szCs w:val="20"/>
        </w:rPr>
        <w:t xml:space="preserve"> dated </w:t>
      </w:r>
      <w:r w:rsidR="00E23022">
        <w:rPr>
          <w:sz w:val="20"/>
          <w:szCs w:val="20"/>
        </w:rPr>
        <w:t>29 October 2004</w:t>
      </w:r>
      <w:r w:rsidRPr="00AE1816">
        <w:rPr>
          <w:sz w:val="20"/>
          <w:szCs w:val="20"/>
        </w:rPr>
        <w:t>.</w:t>
      </w:r>
    </w:p>
    <w:p w:rsidR="00AE1816" w:rsidRPr="00EC40D1" w:rsidRDefault="00AE1816" w:rsidP="001F750D">
      <w:pPr>
        <w:pStyle w:val="ListParagraph"/>
        <w:numPr>
          <w:ilvl w:val="3"/>
          <w:numId w:val="11"/>
        </w:numPr>
        <w:tabs>
          <w:tab w:val="left" w:pos="720"/>
        </w:tabs>
        <w:spacing w:before="240" w:after="120" w:line="220" w:lineRule="exact"/>
        <w:ind w:left="720"/>
        <w:jc w:val="both"/>
        <w:rPr>
          <w:sz w:val="20"/>
          <w:szCs w:val="20"/>
        </w:rPr>
      </w:pPr>
      <w:r w:rsidRPr="0007755A">
        <w:rPr>
          <w:sz w:val="20"/>
          <w:szCs w:val="20"/>
          <w:u w:val="single"/>
        </w:rPr>
        <w:t>Packing List(s)</w:t>
      </w:r>
      <w:r w:rsidRPr="00EC40D1">
        <w:rPr>
          <w:sz w:val="20"/>
          <w:szCs w:val="20"/>
        </w:rPr>
        <w:t xml:space="preserve">.  A packing list (DD Form 250 Material Inspection and Receiving Report may be used) identifying the contents of each shipment, shipping container or palletized unit load shall be provided by </w:t>
      </w:r>
      <w:r w:rsidR="00EC40D1" w:rsidRPr="00EC40D1">
        <w:rPr>
          <w:sz w:val="20"/>
          <w:szCs w:val="20"/>
        </w:rPr>
        <w:t xml:space="preserve">SELLER </w:t>
      </w:r>
      <w:r w:rsidRPr="00EC40D1">
        <w:rPr>
          <w:sz w:val="20"/>
          <w:szCs w:val="20"/>
        </w:rPr>
        <w:t>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00EC40D1">
        <w:rPr>
          <w:sz w:val="20"/>
          <w:szCs w:val="20"/>
        </w:rPr>
        <w:t xml:space="preserve">  </w:t>
      </w:r>
      <w:r w:rsidRPr="00EC40D1">
        <w:rPr>
          <w:sz w:val="20"/>
          <w:szCs w:val="20"/>
        </w:rPr>
        <w:t>Where DD Form 1348-1 or DD Form 1348-1A is applicable and an assortment of related items is included in the shipping container, a packing list identifying the contents shall be furnished.</w:t>
      </w:r>
    </w:p>
    <w:p w:rsidR="00AE1816" w:rsidRPr="00AE1816" w:rsidRDefault="00AE1816" w:rsidP="001F750D">
      <w:pPr>
        <w:pStyle w:val="ListParagraph"/>
        <w:numPr>
          <w:ilvl w:val="3"/>
          <w:numId w:val="11"/>
        </w:numPr>
        <w:tabs>
          <w:tab w:val="left" w:pos="720"/>
        </w:tabs>
        <w:spacing w:after="120" w:line="220" w:lineRule="exact"/>
        <w:ind w:left="720"/>
        <w:jc w:val="both"/>
        <w:rPr>
          <w:sz w:val="20"/>
          <w:szCs w:val="20"/>
        </w:rPr>
      </w:pPr>
      <w:r w:rsidRPr="0007755A">
        <w:rPr>
          <w:sz w:val="20"/>
          <w:szCs w:val="20"/>
          <w:u w:val="single"/>
        </w:rPr>
        <w:t>Master Packing List</w:t>
      </w:r>
      <w:r w:rsidRPr="00AE1816">
        <w:rPr>
          <w:sz w:val="20"/>
          <w:szCs w:val="20"/>
        </w:rPr>
        <w:t xml:space="preserve">.  In addition to the requirements in paragraph </w:t>
      </w:r>
      <w:r w:rsidR="00024216">
        <w:rPr>
          <w:sz w:val="20"/>
          <w:szCs w:val="20"/>
        </w:rPr>
        <w:t>B</w:t>
      </w:r>
      <w:r w:rsidRPr="00AE1816">
        <w:rPr>
          <w:sz w:val="20"/>
          <w:szCs w:val="20"/>
        </w:rPr>
        <w:t xml:space="preserve"> above, a master packing list shall be prepared where more than one shipment, shipping container or palletized unit load comprise the contract line item being shipped.  The master packing list shall be attached to the number one container and so identified.</w:t>
      </w:r>
    </w:p>
    <w:p w:rsidR="007B5051" w:rsidRDefault="00AE1816" w:rsidP="001F750D">
      <w:pPr>
        <w:pStyle w:val="ListParagraph"/>
        <w:numPr>
          <w:ilvl w:val="3"/>
          <w:numId w:val="11"/>
        </w:numPr>
        <w:tabs>
          <w:tab w:val="left" w:pos="720"/>
        </w:tabs>
        <w:spacing w:after="0" w:line="220" w:lineRule="exact"/>
        <w:ind w:left="720"/>
        <w:contextualSpacing w:val="0"/>
        <w:jc w:val="both"/>
        <w:rPr>
          <w:sz w:val="20"/>
          <w:szCs w:val="20"/>
        </w:rPr>
      </w:pPr>
      <w:r w:rsidRPr="0007755A">
        <w:rPr>
          <w:sz w:val="20"/>
          <w:szCs w:val="20"/>
          <w:u w:val="single"/>
        </w:rPr>
        <w:t>Part Identification</w:t>
      </w:r>
      <w:r w:rsidRPr="00AE1816">
        <w:rPr>
          <w:sz w:val="20"/>
          <w:szCs w:val="20"/>
        </w:rPr>
        <w:t>.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r w:rsidR="006D4193" w:rsidRPr="00464189">
        <w:rPr>
          <w:sz w:val="20"/>
          <w:szCs w:val="20"/>
        </w:rPr>
        <w:t>.</w:t>
      </w:r>
    </w:p>
    <w:p w:rsidR="00A97995" w:rsidRPr="00464189" w:rsidRDefault="00A97995" w:rsidP="00A97995">
      <w:pPr>
        <w:pStyle w:val="ListParagraph"/>
        <w:tabs>
          <w:tab w:val="left" w:pos="720"/>
        </w:tabs>
        <w:spacing w:after="0" w:line="220" w:lineRule="exact"/>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11" w:name="Calibration_System_Reqs"/>
      <w:bookmarkEnd w:id="11"/>
      <w:r w:rsidRPr="00DA2CAB">
        <w:rPr>
          <w:b/>
          <w:sz w:val="20"/>
          <w:szCs w:val="20"/>
        </w:rPr>
        <w:t>CALIBRATION SYSTEM REQUIREMENTS</w:t>
      </w:r>
      <w:r w:rsidR="006D4193" w:rsidRPr="00DA2CAB">
        <w:rPr>
          <w:b/>
          <w:sz w:val="20"/>
          <w:szCs w:val="20"/>
        </w:rPr>
        <w:t xml:space="preserve">. </w:t>
      </w:r>
      <w:hyperlink w:anchor="_top" w:history="1">
        <w:r w:rsidR="006D4193" w:rsidRPr="00DA2CAB">
          <w:rPr>
            <w:rStyle w:val="Hyperlink"/>
            <w:b/>
            <w:sz w:val="20"/>
            <w:szCs w:val="20"/>
            <w:u w:val="none"/>
          </w:rPr>
          <w:t xml:space="preserve"> </w:t>
        </w:r>
        <w:r w:rsidR="006D4193" w:rsidRPr="00DA2CAB">
          <w:rPr>
            <w:rStyle w:val="Hyperlink"/>
            <w:b/>
            <w:sz w:val="20"/>
            <w:szCs w:val="20"/>
          </w:rPr>
          <w:t>(back to top)</w:t>
        </w:r>
      </w:hyperlink>
      <w:r w:rsidR="006D4193" w:rsidRPr="00DA2CAB">
        <w:rPr>
          <w:sz w:val="20"/>
          <w:szCs w:val="20"/>
        </w:rPr>
        <w:t xml:space="preserve">  </w:t>
      </w:r>
    </w:p>
    <w:p w:rsidR="006D4193" w:rsidRDefault="00AE1816" w:rsidP="00A97995">
      <w:pPr>
        <w:pStyle w:val="ListParagraph"/>
        <w:spacing w:after="0" w:line="220" w:lineRule="exact"/>
        <w:ind w:left="360"/>
        <w:contextualSpacing w:val="0"/>
        <w:jc w:val="both"/>
        <w:rPr>
          <w:sz w:val="20"/>
          <w:szCs w:val="20"/>
        </w:rPr>
      </w:pPr>
      <w:r w:rsidRPr="00AE1816">
        <w:rPr>
          <w:sz w:val="20"/>
          <w:szCs w:val="20"/>
        </w:rPr>
        <w:t>The calibration of measuring and testing equipment shall, as a minimum, adhere to the requirements of ANSI/NCSL Z540-1</w:t>
      </w:r>
      <w:r w:rsidR="00DA2CAB">
        <w:rPr>
          <w:sz w:val="20"/>
          <w:szCs w:val="20"/>
        </w:rPr>
        <w:t>.</w:t>
      </w:r>
    </w:p>
    <w:p w:rsidR="00A97995" w:rsidRPr="00464189" w:rsidRDefault="00A97995" w:rsidP="00A97995">
      <w:pPr>
        <w:pStyle w:val="ListParagraph"/>
        <w:spacing w:after="0" w:line="220" w:lineRule="exact"/>
        <w:ind w:left="360"/>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12" w:name="Inspection_and_Test_Records"/>
      <w:bookmarkEnd w:id="12"/>
      <w:r w:rsidRPr="00DA2CAB">
        <w:rPr>
          <w:b/>
          <w:sz w:val="20"/>
          <w:szCs w:val="20"/>
        </w:rPr>
        <w:t>INSPECTION AND TEST RECORDS</w:t>
      </w:r>
      <w:r w:rsidR="006D4193" w:rsidRPr="00DA2CAB">
        <w:rPr>
          <w:b/>
          <w:sz w:val="20"/>
          <w:szCs w:val="20"/>
        </w:rPr>
        <w:t xml:space="preserve">. </w:t>
      </w:r>
      <w:hyperlink w:anchor="_top" w:history="1">
        <w:r w:rsidR="006D4193" w:rsidRPr="00DA2CAB">
          <w:rPr>
            <w:rStyle w:val="Hyperlink"/>
            <w:b/>
            <w:sz w:val="20"/>
            <w:szCs w:val="20"/>
            <w:u w:val="none"/>
          </w:rPr>
          <w:t xml:space="preserve"> </w:t>
        </w:r>
        <w:r w:rsidR="006D4193" w:rsidRPr="00DA2CAB">
          <w:rPr>
            <w:rStyle w:val="Hyperlink"/>
            <w:b/>
            <w:sz w:val="20"/>
            <w:szCs w:val="20"/>
          </w:rPr>
          <w:t>(back to top)</w:t>
        </w:r>
      </w:hyperlink>
      <w:r w:rsidR="006D4193" w:rsidRPr="00DA2CAB">
        <w:rPr>
          <w:sz w:val="20"/>
          <w:szCs w:val="20"/>
        </w:rPr>
        <w:t xml:space="preserve">  </w:t>
      </w:r>
    </w:p>
    <w:p w:rsidR="006D4193" w:rsidRDefault="00AE1816" w:rsidP="00A97995">
      <w:pPr>
        <w:pStyle w:val="ListParagraph"/>
        <w:spacing w:after="0" w:line="220" w:lineRule="exact"/>
        <w:ind w:left="360"/>
        <w:contextualSpacing w:val="0"/>
        <w:jc w:val="both"/>
        <w:rPr>
          <w:sz w:val="20"/>
          <w:szCs w:val="20"/>
        </w:rPr>
      </w:pPr>
      <w:r w:rsidRPr="00AE1816">
        <w:rPr>
          <w:sz w:val="20"/>
          <w:szCs w:val="20"/>
        </w:rPr>
        <w:t>Inspection and test records shall, as a minimum, indicate the nature of the observations, number of observations made, and the number and type of deficiencies found.  Data included in inspection and test records shall be complete and accurate, and shall be used for trend analysis and to assess corrective action and effectiveness.</w:t>
      </w:r>
      <w:r w:rsidR="006D4193" w:rsidRPr="00464189">
        <w:rPr>
          <w:sz w:val="20"/>
          <w:szCs w:val="20"/>
        </w:rPr>
        <w:t xml:space="preserve"> </w:t>
      </w:r>
    </w:p>
    <w:p w:rsidR="00A97995" w:rsidRPr="00464189" w:rsidRDefault="00A97995" w:rsidP="00A97995">
      <w:pPr>
        <w:pStyle w:val="ListParagraph"/>
        <w:spacing w:after="0" w:line="220" w:lineRule="exact"/>
        <w:ind w:left="360"/>
        <w:contextualSpacing w:val="0"/>
        <w:jc w:val="both"/>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3" w:name="Liaison_Personnel"/>
      <w:bookmarkEnd w:id="13"/>
      <w:r w:rsidRPr="00A822CD">
        <w:rPr>
          <w:b/>
          <w:sz w:val="20"/>
          <w:szCs w:val="20"/>
        </w:rPr>
        <w:t>LIAISON PERSONNEL</w:t>
      </w:r>
      <w:r w:rsidR="00691F0B">
        <w:rPr>
          <w:b/>
          <w:sz w:val="20"/>
          <w:szCs w:val="20"/>
        </w:rPr>
        <w:t xml:space="preserve">. </w:t>
      </w:r>
      <w:hyperlink w:anchor="_top" w:history="1">
        <w:r w:rsidR="00D4749B">
          <w:rPr>
            <w:rStyle w:val="Hyperlink"/>
            <w:b/>
            <w:sz w:val="20"/>
            <w:szCs w:val="20"/>
          </w:rPr>
          <w:t>(back to top</w:t>
        </w:r>
      </w:hyperlink>
      <w:r w:rsidR="00D4749B">
        <w:rPr>
          <w:b/>
          <w:sz w:val="20"/>
          <w:szCs w:val="20"/>
        </w:rPr>
        <w:t>)</w:t>
      </w:r>
    </w:p>
    <w:p w:rsidR="00A021C1" w:rsidRPr="00A021C1" w:rsidRDefault="00A822CD" w:rsidP="00A822CD">
      <w:pPr>
        <w:spacing w:after="0" w:line="220" w:lineRule="exact"/>
        <w:ind w:left="360"/>
        <w:jc w:val="both"/>
        <w:rPr>
          <w:sz w:val="20"/>
          <w:szCs w:val="20"/>
        </w:rPr>
      </w:pPr>
      <w:r w:rsidRPr="00A822CD">
        <w:rPr>
          <w:sz w:val="20"/>
          <w:szCs w:val="20"/>
        </w:rPr>
        <w:t xml:space="preserve">The delivery of the </w:t>
      </w:r>
      <w:r>
        <w:rPr>
          <w:sz w:val="20"/>
          <w:szCs w:val="20"/>
        </w:rPr>
        <w:t>Products</w:t>
      </w:r>
      <w:r w:rsidRPr="00A822CD">
        <w:rPr>
          <w:sz w:val="20"/>
          <w:szCs w:val="20"/>
        </w:rPr>
        <w:t xml:space="preserve"> in strict accordance with the specifications and delivery schedule is of paramount importance.  To assure attainment of this requirement, the parties agree that BUYER may, at its option, assign representatives from Engineering, Manufacturing, Quality Assurance, Procurement, or other specialties as necessary as resident or itinerant representatives to be located at SELLER’s plant.  SELLER shall at no cost to BUYER, provide adequate office space and equipment for BUYER liaison personnel at its plant during the performance of this Order.</w:t>
      </w:r>
    </w:p>
    <w:p w:rsidR="00A021C1" w:rsidRDefault="00A021C1" w:rsidP="00A021C1">
      <w:pPr>
        <w:pStyle w:val="ListParagraph"/>
        <w:spacing w:after="0" w:line="220" w:lineRule="exact"/>
        <w:ind w:left="360"/>
        <w:jc w:val="both"/>
        <w:rPr>
          <w:b/>
          <w:sz w:val="20"/>
          <w:szCs w:val="20"/>
        </w:rPr>
      </w:pPr>
    </w:p>
    <w:p w:rsidR="0007755A" w:rsidRPr="0007755A" w:rsidRDefault="0007755A" w:rsidP="00A021C1">
      <w:pPr>
        <w:pStyle w:val="ListParagraph"/>
        <w:numPr>
          <w:ilvl w:val="0"/>
          <w:numId w:val="7"/>
        </w:numPr>
        <w:spacing w:after="0" w:line="220" w:lineRule="exact"/>
        <w:jc w:val="both"/>
        <w:rPr>
          <w:b/>
          <w:sz w:val="20"/>
          <w:szCs w:val="20"/>
        </w:rPr>
      </w:pPr>
      <w:bookmarkStart w:id="14" w:name="Qualification_of_Seller_Nonde_Test"/>
      <w:bookmarkEnd w:id="14"/>
      <w:r w:rsidRPr="0007755A">
        <w:rPr>
          <w:b/>
          <w:sz w:val="20"/>
          <w:szCs w:val="20"/>
        </w:rPr>
        <w:t>QUALIFICATION OF SELLER NONDESTRUCTIVE TESTING (NDT) PERSONNEL</w:t>
      </w:r>
      <w:r w:rsidR="00553DDC">
        <w:rPr>
          <w:b/>
          <w:sz w:val="20"/>
          <w:szCs w:val="20"/>
        </w:rPr>
        <w:t>.</w:t>
      </w:r>
      <w:r w:rsidR="00D4749B">
        <w:rPr>
          <w:b/>
          <w:sz w:val="20"/>
          <w:szCs w:val="20"/>
        </w:rPr>
        <w:t xml:space="preserve"> </w:t>
      </w:r>
      <w:hyperlink w:anchor="_top" w:history="1">
        <w:r w:rsidR="00D4749B">
          <w:rPr>
            <w:rStyle w:val="Hyperlink"/>
            <w:b/>
            <w:sz w:val="20"/>
            <w:szCs w:val="20"/>
          </w:rPr>
          <w:t>(back to top)</w:t>
        </w:r>
      </w:hyperlink>
    </w:p>
    <w:p w:rsidR="00691F0B" w:rsidRDefault="0007755A" w:rsidP="00F010D9">
      <w:pPr>
        <w:spacing w:after="0" w:line="240" w:lineRule="auto"/>
        <w:ind w:left="360"/>
        <w:jc w:val="both"/>
        <w:rPr>
          <w:sz w:val="20"/>
          <w:szCs w:val="20"/>
        </w:rPr>
      </w:pPr>
      <w:r w:rsidRPr="0007755A">
        <w:rPr>
          <w:sz w:val="20"/>
          <w:szCs w:val="20"/>
        </w:rPr>
        <w:t>Any NDT SELLER (as hereinafter defined) shall utilize for the performance of required Nondestructive Testing (NDT) (which includes radiography, magnetic particle, liquid penetrant, eddy current, ultrasonic inspections and visual inspections) shall utilize for the performance of required NDT, only Level I, II and III personnel currently certified in accordance with NAVSEA Technical Publication T9074-AS-GIB-010/271, ACN Notice 1 of 16 Feb 99. Documentation pertaining to the qualification and certification of NDT personnel shall be made available to the Contracting Officer for review upon request. The term “NDT SELLER” is defined to be a first tier subcontractor performing NDT in conjunction with the production of materials, components, or equipments for the vessel(s).</w:t>
      </w:r>
    </w:p>
    <w:p w:rsidR="00691F0B" w:rsidRPr="0007755A" w:rsidRDefault="00691F0B" w:rsidP="002B74C8">
      <w:pPr>
        <w:spacing w:after="0" w:line="240" w:lineRule="auto"/>
        <w:ind w:left="360"/>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5" w:name="Cost_of_Quality_Data"/>
      <w:bookmarkEnd w:id="15"/>
      <w:r w:rsidRPr="00A822CD">
        <w:rPr>
          <w:b/>
          <w:sz w:val="20"/>
          <w:szCs w:val="20"/>
        </w:rPr>
        <w:t>COST OF QUALITY DATA</w:t>
      </w:r>
      <w:r w:rsidR="00553DDC">
        <w:rPr>
          <w:b/>
          <w:sz w:val="20"/>
          <w:szCs w:val="20"/>
        </w:rPr>
        <w:t>.</w:t>
      </w:r>
      <w:r w:rsidR="00D4749B">
        <w:rPr>
          <w:b/>
          <w:sz w:val="20"/>
          <w:szCs w:val="20"/>
        </w:rPr>
        <w:t xml:space="preserve">  </w:t>
      </w:r>
      <w:hyperlink w:anchor="_top" w:history="1">
        <w:r w:rsidR="00D4749B">
          <w:rPr>
            <w:rStyle w:val="Hyperlink"/>
            <w:b/>
            <w:sz w:val="20"/>
            <w:szCs w:val="20"/>
          </w:rPr>
          <w:t>(back to top)</w:t>
        </w:r>
      </w:hyperlink>
    </w:p>
    <w:p w:rsidR="00A822CD" w:rsidRDefault="00A822CD" w:rsidP="00A822CD">
      <w:pPr>
        <w:pStyle w:val="ListParagraph"/>
        <w:spacing w:after="0" w:line="220" w:lineRule="exact"/>
        <w:ind w:left="360"/>
        <w:jc w:val="both"/>
        <w:rPr>
          <w:sz w:val="20"/>
          <w:szCs w:val="20"/>
        </w:rPr>
      </w:pPr>
      <w:r w:rsidRPr="00A822CD">
        <w:rPr>
          <w:sz w:val="20"/>
          <w:szCs w:val="20"/>
        </w:rPr>
        <w:t>SELLER shall maintain and use quality cost data as a management element of its quality program.  The data to be maintained and used shall include the costs associated with the prevention and correction of defects.  Data on the cost of failures must include all labor and material costs of rework. These data shall, on request, be identified and made available for "on site" review by BUYER or the Government.</w:t>
      </w:r>
    </w:p>
    <w:p w:rsidR="002B74C8" w:rsidRPr="00A822CD" w:rsidRDefault="002B74C8" w:rsidP="00A822CD">
      <w:pPr>
        <w:pStyle w:val="ListParagraph"/>
        <w:spacing w:after="0" w:line="220" w:lineRule="exact"/>
        <w:ind w:left="360"/>
        <w:jc w:val="both"/>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6" w:name="Logistic_Support_Requirement"/>
      <w:bookmarkEnd w:id="16"/>
      <w:r w:rsidRPr="00A822CD">
        <w:rPr>
          <w:b/>
          <w:sz w:val="20"/>
          <w:szCs w:val="20"/>
        </w:rPr>
        <w:t>LOGISTIC SUPPORT REQUIREMENT</w:t>
      </w:r>
      <w:r w:rsidR="00553DDC">
        <w:rPr>
          <w:b/>
          <w:sz w:val="20"/>
          <w:szCs w:val="20"/>
        </w:rPr>
        <w:t>.</w:t>
      </w:r>
      <w:r w:rsidR="00D4749B">
        <w:rPr>
          <w:b/>
          <w:sz w:val="20"/>
          <w:szCs w:val="20"/>
        </w:rPr>
        <w:t xml:space="preserve">  </w:t>
      </w:r>
      <w:hyperlink w:anchor="_top" w:history="1">
        <w:r w:rsidR="00D4749B">
          <w:rPr>
            <w:rStyle w:val="Hyperlink"/>
            <w:b/>
            <w:sz w:val="20"/>
            <w:szCs w:val="20"/>
          </w:rPr>
          <w:t>(back to top)</w:t>
        </w:r>
      </w:hyperlink>
    </w:p>
    <w:p w:rsidR="00A822CD" w:rsidRPr="00A822CD" w:rsidRDefault="00A822CD" w:rsidP="00A822CD">
      <w:pPr>
        <w:pStyle w:val="ListParagraph"/>
        <w:spacing w:after="0" w:line="220" w:lineRule="exact"/>
        <w:ind w:hanging="360"/>
        <w:jc w:val="both"/>
        <w:rPr>
          <w:sz w:val="20"/>
          <w:szCs w:val="20"/>
        </w:rPr>
      </w:pPr>
      <w:r>
        <w:rPr>
          <w:sz w:val="20"/>
          <w:szCs w:val="20"/>
        </w:rPr>
        <w:t>A.</w:t>
      </w:r>
      <w:r w:rsidRPr="00A822CD">
        <w:rPr>
          <w:sz w:val="20"/>
          <w:szCs w:val="20"/>
        </w:rPr>
        <w:tab/>
        <w:t>This requirement applies whenever the contract specifications, by reference to a Military Specification or otherwise, specify repair parts or stock components (hereinafter called “repair parts”) for a ship component or item of equipment.</w:t>
      </w:r>
    </w:p>
    <w:p w:rsidR="00A822CD" w:rsidRPr="00A822CD" w:rsidRDefault="00A822CD" w:rsidP="00A822CD">
      <w:pPr>
        <w:pStyle w:val="ListParagraph"/>
        <w:spacing w:after="0" w:line="220" w:lineRule="exact"/>
        <w:ind w:hanging="360"/>
        <w:jc w:val="both"/>
        <w:rPr>
          <w:sz w:val="20"/>
          <w:szCs w:val="20"/>
        </w:rPr>
      </w:pPr>
      <w:r>
        <w:rPr>
          <w:sz w:val="20"/>
          <w:szCs w:val="20"/>
        </w:rPr>
        <w:t>B.</w:t>
      </w:r>
      <w:r w:rsidRPr="00A822CD">
        <w:rPr>
          <w:sz w:val="20"/>
          <w:szCs w:val="20"/>
        </w:rPr>
        <w:tab/>
        <w:t>With respect to ship components or equipments manufactured other than in the United States and Canada, SELLER agrees that, in addition to any other data required by this Order, it will furnish under this Order sufficient data so that the repair parts can be reproduced in the United States or Canada unless the suppliers of the ship components or equipments shall have made arrangements satisfactory to SELLER and approved by the BUYER and BUYER’s Contracting Officer for the manufacturing of repair parts in the United States or Canada. For the purpose of this requirement, “sufficient data”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Prime Contract number.</w:t>
      </w:r>
    </w:p>
    <w:p w:rsidR="00A822CD" w:rsidRDefault="00A822CD" w:rsidP="00A822CD">
      <w:pPr>
        <w:pStyle w:val="ListParagraph"/>
        <w:spacing w:after="0" w:line="220" w:lineRule="exact"/>
        <w:ind w:hanging="360"/>
        <w:jc w:val="both"/>
        <w:rPr>
          <w:sz w:val="20"/>
          <w:szCs w:val="20"/>
        </w:rPr>
      </w:pPr>
      <w:r>
        <w:rPr>
          <w:sz w:val="20"/>
          <w:szCs w:val="20"/>
        </w:rPr>
        <w:t>C.</w:t>
      </w:r>
      <w:r w:rsidRPr="00A822CD">
        <w:rPr>
          <w:sz w:val="20"/>
          <w:szCs w:val="20"/>
        </w:rPr>
        <w:tab/>
        <w:t>In order to satisfy the requirements of paragraph (b) above, unless SELLER or SELLER’s supplier of the ship components or equipments shall have made arrangements, satisfactory to SELLER and approved by the BUYER and BUYER’s Contracting Officer, for the manufacture of such repair parts in the United States or Canada, SELLER and SELLER’s subcontractors shall both provide and shall include in all subcontracts for the purchase of ship components or equipments from foreign sources this clause that hereby grants to the United States Government for a period of seven (7) years, “Government Purpose Rights” (as defined in paragraph (a)(13) of the clause of this Order entitled “RIGHTS IN TECHNICAL DATA - NONCOMMERCIAL ITEMS” (DFARS 252.227-7013)) in all technical data necessary to manufacture spare and repair parts for such components or equipments.</w:t>
      </w:r>
    </w:p>
    <w:p w:rsidR="00A822CD" w:rsidRPr="00A822CD" w:rsidRDefault="00A822CD" w:rsidP="00A822CD">
      <w:pPr>
        <w:pStyle w:val="ListParagraph"/>
        <w:spacing w:after="0" w:line="220" w:lineRule="exact"/>
        <w:ind w:left="360"/>
        <w:jc w:val="both"/>
        <w:rPr>
          <w:sz w:val="20"/>
          <w:szCs w:val="20"/>
        </w:rPr>
      </w:pPr>
    </w:p>
    <w:p w:rsidR="00EB242E" w:rsidRPr="00EB242E" w:rsidRDefault="00EB242E" w:rsidP="00EB242E">
      <w:pPr>
        <w:pStyle w:val="ListParagraph"/>
        <w:numPr>
          <w:ilvl w:val="0"/>
          <w:numId w:val="7"/>
        </w:numPr>
        <w:spacing w:after="0" w:line="220" w:lineRule="exact"/>
        <w:jc w:val="both"/>
        <w:rPr>
          <w:b/>
          <w:sz w:val="20"/>
          <w:szCs w:val="20"/>
        </w:rPr>
      </w:pPr>
      <w:bookmarkStart w:id="17" w:name="Optional_Termination_and_Suspension"/>
      <w:bookmarkEnd w:id="17"/>
      <w:r w:rsidRPr="00EB242E">
        <w:rPr>
          <w:b/>
          <w:sz w:val="20"/>
          <w:szCs w:val="20"/>
        </w:rPr>
        <w:t>OPTIONAL TERMINATION AND SUSPENSION</w:t>
      </w:r>
      <w:r w:rsidR="00553DDC">
        <w:rPr>
          <w:b/>
          <w:sz w:val="20"/>
          <w:szCs w:val="20"/>
        </w:rPr>
        <w:t>.</w:t>
      </w:r>
      <w:r w:rsidR="00D4749B">
        <w:rPr>
          <w:b/>
          <w:sz w:val="20"/>
          <w:szCs w:val="20"/>
        </w:rPr>
        <w:t xml:space="preserve">  </w:t>
      </w:r>
      <w:hyperlink w:anchor="_top" w:history="1">
        <w:r w:rsidR="00D4749B">
          <w:rPr>
            <w:rStyle w:val="Hyperlink"/>
            <w:b/>
            <w:sz w:val="20"/>
            <w:szCs w:val="20"/>
          </w:rPr>
          <w:t>(back to top)</w:t>
        </w:r>
      </w:hyperlink>
    </w:p>
    <w:p w:rsidR="00EB242E" w:rsidRPr="00EB242E" w:rsidRDefault="00EB242E" w:rsidP="00EB242E">
      <w:pPr>
        <w:pStyle w:val="ListParagraph"/>
        <w:spacing w:after="0" w:line="220" w:lineRule="exact"/>
        <w:ind w:left="360"/>
        <w:jc w:val="both"/>
        <w:rPr>
          <w:sz w:val="20"/>
          <w:szCs w:val="20"/>
        </w:rPr>
      </w:pPr>
      <w:r w:rsidRPr="00EB242E">
        <w:rPr>
          <w:sz w:val="20"/>
          <w:szCs w:val="20"/>
        </w:rPr>
        <w:t>The performance of work under this Order may be terminated or suspended by BUYER in whole or from time to time, in part, whenever BUYER shall determine that such termination or suspension is in its best interest.  Any such termination or suspension shall be by written notice to SELLER, specifying the extent to which performance of work under this Order is terminated or suspended, and the date upon which termination or suspension becomes effective.  The rights of BUYER pursuant to this Clause are in addition to any of its other rights under this Order.  The Clause set forth in FAR 52.249-2 under the “Incorporation of Clauses by Reference” provision of this Order shall apply in the event of termination of this Order under this Clause. In the event of suspension of work under this Clause, SELLER shall be entitled to an adjustment (excluding profit) for any increase in the cost of performance of this Order caused by such suspension.  Adjustment shall be made also in the delivery or performance dates.</w:t>
      </w:r>
    </w:p>
    <w:p w:rsidR="00EB242E" w:rsidRPr="00EB242E" w:rsidRDefault="00EB242E" w:rsidP="00EB242E">
      <w:pPr>
        <w:spacing w:after="0" w:line="220" w:lineRule="exact"/>
        <w:jc w:val="both"/>
        <w:rPr>
          <w:b/>
          <w:sz w:val="20"/>
          <w:szCs w:val="20"/>
        </w:rPr>
      </w:pPr>
    </w:p>
    <w:p w:rsidR="0007755A" w:rsidRPr="0007755A" w:rsidRDefault="0007755A" w:rsidP="000F265F">
      <w:pPr>
        <w:pStyle w:val="ListParagraph"/>
        <w:keepNext/>
        <w:numPr>
          <w:ilvl w:val="0"/>
          <w:numId w:val="7"/>
        </w:numPr>
        <w:spacing w:after="0" w:line="220" w:lineRule="exact"/>
        <w:jc w:val="both"/>
        <w:rPr>
          <w:b/>
          <w:sz w:val="20"/>
          <w:szCs w:val="20"/>
        </w:rPr>
      </w:pPr>
      <w:bookmarkStart w:id="18" w:name="Permits_and_Responsibilities"/>
      <w:bookmarkEnd w:id="18"/>
      <w:r>
        <w:rPr>
          <w:b/>
          <w:sz w:val="20"/>
          <w:szCs w:val="20"/>
        </w:rPr>
        <w:t>P</w:t>
      </w:r>
      <w:r w:rsidRPr="0007755A">
        <w:rPr>
          <w:b/>
          <w:sz w:val="20"/>
          <w:szCs w:val="20"/>
        </w:rPr>
        <w:t>ERMITS AND RESPONSIBILITIES</w:t>
      </w:r>
      <w:r w:rsidR="00553DDC">
        <w:rPr>
          <w:b/>
          <w:sz w:val="20"/>
          <w:szCs w:val="20"/>
        </w:rPr>
        <w:t>.</w:t>
      </w:r>
      <w:r w:rsidR="00D4749B">
        <w:rPr>
          <w:b/>
          <w:sz w:val="20"/>
          <w:szCs w:val="20"/>
        </w:rPr>
        <w:t xml:space="preserve">  </w:t>
      </w:r>
      <w:hyperlink w:anchor="_top" w:history="1">
        <w:r w:rsidR="00D4749B">
          <w:rPr>
            <w:rStyle w:val="Hyperlink"/>
            <w:b/>
            <w:sz w:val="20"/>
            <w:szCs w:val="20"/>
          </w:rPr>
          <w:t>(back to top)</w:t>
        </w:r>
      </w:hyperlink>
    </w:p>
    <w:p w:rsidR="0007755A" w:rsidRDefault="0007755A" w:rsidP="002B74C8">
      <w:pPr>
        <w:spacing w:after="0" w:line="240" w:lineRule="auto"/>
        <w:ind w:left="360"/>
        <w:rPr>
          <w:sz w:val="20"/>
          <w:szCs w:val="20"/>
        </w:rPr>
      </w:pPr>
      <w:r w:rsidRPr="0007755A">
        <w:rPr>
          <w:sz w:val="20"/>
          <w:szCs w:val="20"/>
        </w:rPr>
        <w:t>SELLER shall, without additional expense to the BUYER or Government, be responsible for obtaining any necessary licenses and permits, and for complying with any applicable Federal, State, and Municipal laws, codes, and regulations, in connection with any movement over the public highways of overweight/ overdimensional materials.</w:t>
      </w:r>
    </w:p>
    <w:p w:rsidR="002B74C8" w:rsidRPr="0007755A" w:rsidRDefault="002B74C8" w:rsidP="002B74C8">
      <w:pPr>
        <w:spacing w:after="0" w:line="240" w:lineRule="auto"/>
        <w:ind w:left="360"/>
        <w:rPr>
          <w:sz w:val="20"/>
          <w:szCs w:val="20"/>
        </w:rPr>
      </w:pPr>
    </w:p>
    <w:p w:rsidR="007B5051" w:rsidRPr="00464189" w:rsidRDefault="00264472" w:rsidP="0007755A">
      <w:pPr>
        <w:pStyle w:val="ListParagraph"/>
        <w:numPr>
          <w:ilvl w:val="0"/>
          <w:numId w:val="7"/>
        </w:numPr>
        <w:spacing w:after="0" w:line="220" w:lineRule="exact"/>
        <w:jc w:val="both"/>
        <w:rPr>
          <w:sz w:val="20"/>
          <w:szCs w:val="20"/>
        </w:rPr>
      </w:pPr>
      <w:bookmarkStart w:id="19" w:name="FARS_DFARS"/>
      <w:bookmarkEnd w:id="19"/>
      <w:r w:rsidRPr="00464189">
        <w:rPr>
          <w:b/>
          <w:sz w:val="20"/>
          <w:szCs w:val="20"/>
        </w:rPr>
        <w:t>FAR/DFARS - PROVISIONS INCORPORATED BY REFERENCE.</w:t>
      </w:r>
      <w:r w:rsidR="005736CF" w:rsidRPr="00464189">
        <w:rPr>
          <w:b/>
          <w:sz w:val="20"/>
          <w:szCs w:val="20"/>
        </w:rPr>
        <w:t xml:space="preserve"> </w:t>
      </w:r>
      <w:r w:rsidR="005971A9" w:rsidRPr="00464189">
        <w:rPr>
          <w:b/>
          <w:sz w:val="20"/>
          <w:szCs w:val="20"/>
        </w:rPr>
        <w:t xml:space="preserve"> </w:t>
      </w:r>
      <w:hyperlink w:anchor="_top" w:history="1">
        <w:r w:rsidR="005736CF" w:rsidRPr="00464189">
          <w:rPr>
            <w:rStyle w:val="Hyperlink"/>
            <w:b/>
            <w:sz w:val="20"/>
            <w:szCs w:val="20"/>
          </w:rPr>
          <w:t>(back to top)</w:t>
        </w:r>
      </w:hyperlink>
      <w:r w:rsidRPr="00464189">
        <w:rPr>
          <w:b/>
          <w:sz w:val="20"/>
          <w:szCs w:val="20"/>
        </w:rPr>
        <w:t xml:space="preserve">  </w:t>
      </w:r>
    </w:p>
    <w:p w:rsidR="000E28D0" w:rsidRPr="00464189" w:rsidRDefault="000E28D0" w:rsidP="001F750D">
      <w:pPr>
        <w:pStyle w:val="ListParagraph"/>
        <w:numPr>
          <w:ilvl w:val="1"/>
          <w:numId w:val="7"/>
        </w:numPr>
        <w:spacing w:after="0" w:line="220" w:lineRule="exact"/>
        <w:jc w:val="both"/>
        <w:rPr>
          <w:rFonts w:cs="Arial"/>
          <w:sz w:val="20"/>
          <w:szCs w:val="20"/>
        </w:rPr>
      </w:pPr>
      <w:r w:rsidRPr="00464189">
        <w:rPr>
          <w:rFonts w:cs="Arial"/>
          <w:sz w:val="20"/>
          <w:szCs w:val="20"/>
        </w:rPr>
        <w:t>The below listed FAR and DFARS clauses are incorporated by reference and made part of this Order with the same force and effect as though set forth in full text</w:t>
      </w:r>
      <w:r w:rsidR="00BF3A9C">
        <w:rPr>
          <w:rFonts w:cs="Arial"/>
          <w:sz w:val="20"/>
          <w:szCs w:val="20"/>
        </w:rPr>
        <w:t>, and supersede and replace all FAR and DFARS clauses in</w:t>
      </w:r>
      <w:r w:rsidR="00B1289A">
        <w:rPr>
          <w:rFonts w:cs="Arial"/>
          <w:sz w:val="20"/>
          <w:szCs w:val="20"/>
        </w:rPr>
        <w:t xml:space="preserve">corporated by reference in the Section titled </w:t>
      </w:r>
      <w:r w:rsidR="00B1289A" w:rsidRPr="00B1289A">
        <w:rPr>
          <w:rFonts w:cs="Arial"/>
          <w:sz w:val="20"/>
          <w:szCs w:val="20"/>
        </w:rPr>
        <w:t>FAR/DFARS CLAUSES/PROVISIONS</w:t>
      </w:r>
      <w:r w:rsidR="00B1289A">
        <w:rPr>
          <w:rFonts w:cs="Arial"/>
          <w:sz w:val="20"/>
          <w:szCs w:val="20"/>
        </w:rPr>
        <w:t xml:space="preserve"> in </w:t>
      </w:r>
      <w:r w:rsidR="00024216">
        <w:rPr>
          <w:rFonts w:cs="Arial"/>
          <w:sz w:val="20"/>
          <w:szCs w:val="20"/>
        </w:rPr>
        <w:t>BUYER’s F</w:t>
      </w:r>
      <w:r w:rsidR="00BF3A9C">
        <w:rPr>
          <w:rFonts w:cs="Arial"/>
          <w:sz w:val="20"/>
          <w:szCs w:val="20"/>
        </w:rPr>
        <w:t>orm SBF P9328, General Provisions for Orders under U.S. Government Contracts</w:t>
      </w:r>
      <w:r w:rsidRPr="00464189">
        <w:rPr>
          <w:rFonts w:cs="Arial"/>
          <w:sz w:val="20"/>
          <w:szCs w:val="20"/>
        </w:rPr>
        <w:t xml:space="preserve">. </w:t>
      </w:r>
    </w:p>
    <w:p w:rsidR="000E28D0" w:rsidRPr="00464189" w:rsidRDefault="000E28D0" w:rsidP="001F750D">
      <w:pPr>
        <w:pStyle w:val="ListParagraph"/>
        <w:numPr>
          <w:ilvl w:val="1"/>
          <w:numId w:val="7"/>
        </w:numPr>
        <w:spacing w:after="0" w:line="220" w:lineRule="exact"/>
        <w:jc w:val="both"/>
        <w:rPr>
          <w:sz w:val="20"/>
          <w:szCs w:val="20"/>
        </w:rPr>
      </w:pPr>
      <w:r w:rsidRPr="00464189">
        <w:rPr>
          <w:rFonts w:cs="Arial"/>
          <w:sz w:val="20"/>
          <w:szCs w:val="20"/>
        </w:rPr>
        <w:t>Unless the text in these clauses clearly reserves rights in the Government only or as otherwise noted, the terms “Contractor” means “</w:t>
      </w:r>
      <w:r w:rsidR="00024216">
        <w:rPr>
          <w:rFonts w:cs="Arial"/>
          <w:sz w:val="20"/>
          <w:szCs w:val="20"/>
        </w:rPr>
        <w:t>SELLER</w:t>
      </w:r>
      <w:r w:rsidRPr="00464189">
        <w:rPr>
          <w:rFonts w:cs="Arial"/>
          <w:sz w:val="20"/>
          <w:szCs w:val="20"/>
        </w:rPr>
        <w:t>,” “Contracting Officer” means “</w:t>
      </w:r>
      <w:r w:rsidR="00311B13">
        <w:rPr>
          <w:rFonts w:cs="Arial"/>
          <w:sz w:val="20"/>
          <w:szCs w:val="20"/>
        </w:rPr>
        <w:t>BUYER</w:t>
      </w:r>
      <w:r w:rsidRPr="00464189">
        <w:rPr>
          <w:rFonts w:cs="Arial"/>
          <w:sz w:val="20"/>
          <w:szCs w:val="20"/>
        </w:rPr>
        <w:t>,” “Contract” means this Order and “Government” means “</w:t>
      </w:r>
      <w:r w:rsidR="00311B13">
        <w:rPr>
          <w:rFonts w:cs="Arial"/>
          <w:sz w:val="20"/>
          <w:szCs w:val="20"/>
        </w:rPr>
        <w:t>BUYER</w:t>
      </w:r>
      <w:r w:rsidR="00311B13" w:rsidRPr="00464189">
        <w:rPr>
          <w:rFonts w:cs="Arial"/>
          <w:sz w:val="20"/>
          <w:szCs w:val="20"/>
        </w:rPr>
        <w:t xml:space="preserve"> </w:t>
      </w:r>
      <w:r w:rsidRPr="00464189">
        <w:rPr>
          <w:rFonts w:cs="Arial"/>
          <w:sz w:val="20"/>
          <w:szCs w:val="20"/>
        </w:rPr>
        <w:t xml:space="preserve">or the Government.”  </w:t>
      </w:r>
      <w:r w:rsidRPr="00464189">
        <w:rPr>
          <w:sz w:val="20"/>
          <w:szCs w:val="20"/>
        </w:rPr>
        <w:t>However, the words “Government” and “Contracting Officer” do not change when a right, act, authorization or obligation can be granted or performed only by the Government or the Prime Contract contracting officer or duly authorized representative.</w:t>
      </w:r>
    </w:p>
    <w:p w:rsidR="001E4839" w:rsidRPr="00464189" w:rsidRDefault="001E4839" w:rsidP="001F750D">
      <w:pPr>
        <w:pStyle w:val="list11"/>
        <w:numPr>
          <w:ilvl w:val="1"/>
          <w:numId w:val="7"/>
        </w:numPr>
        <w:rPr>
          <w:rFonts w:asciiTheme="minorHAnsi" w:hAnsiTheme="minorHAnsi"/>
          <w:bCs/>
        </w:rPr>
      </w:pPr>
      <w:r w:rsidRPr="00464189">
        <w:rPr>
          <w:rFonts w:asciiTheme="minorHAnsi" w:hAnsiTheme="minorHAnsi"/>
          <w:bCs/>
        </w:rPr>
        <w:t>Applicable thresholds include Truth in Negotiation Act Threshold (TINA) at $700,000; Simplified Acquisition Threshold (SAT) at $150,000; and Micro</w:t>
      </w:r>
      <w:r w:rsidR="003A5850" w:rsidRPr="00464189">
        <w:rPr>
          <w:rFonts w:asciiTheme="minorHAnsi" w:hAnsiTheme="minorHAnsi"/>
          <w:bCs/>
        </w:rPr>
        <w:t>-purchase Threshold</w:t>
      </w:r>
      <w:r w:rsidRPr="00464189">
        <w:rPr>
          <w:rFonts w:asciiTheme="minorHAnsi" w:hAnsiTheme="minorHAnsi"/>
          <w:bCs/>
        </w:rPr>
        <w:t xml:space="preserve"> at $</w:t>
      </w:r>
      <w:r w:rsidR="003A5850" w:rsidRPr="00464189">
        <w:rPr>
          <w:rFonts w:asciiTheme="minorHAnsi" w:hAnsiTheme="minorHAnsi"/>
          <w:bCs/>
        </w:rPr>
        <w:t>3,000</w:t>
      </w:r>
      <w:r w:rsidRPr="00464189">
        <w:rPr>
          <w:rFonts w:asciiTheme="minorHAnsi" w:hAnsiTheme="minorHAnsi"/>
          <w:bCs/>
        </w:rPr>
        <w:t xml:space="preserve">. </w:t>
      </w:r>
    </w:p>
    <w:p w:rsidR="000E28D0" w:rsidRPr="00ED1571" w:rsidRDefault="000E28D0" w:rsidP="001F750D">
      <w:pPr>
        <w:pStyle w:val="list11"/>
        <w:numPr>
          <w:ilvl w:val="1"/>
          <w:numId w:val="7"/>
        </w:numPr>
        <w:rPr>
          <w:rFonts w:asciiTheme="minorHAnsi" w:hAnsiTheme="minorHAnsi" w:cs="Arial"/>
        </w:rPr>
      </w:pPr>
      <w:r w:rsidRPr="00ED1571">
        <w:rPr>
          <w:rFonts w:asciiTheme="minorHAnsi" w:hAnsiTheme="minorHAnsi" w:cs="Arial"/>
        </w:rPr>
        <w:t xml:space="preserve">Whenever </w:t>
      </w:r>
      <w:r w:rsidR="00ED1571" w:rsidRPr="00ED1571">
        <w:rPr>
          <w:rFonts w:asciiTheme="minorHAnsi" w:hAnsiTheme="minorHAnsi" w:cs="Arial"/>
        </w:rPr>
        <w:t>the FAR or DFARS</w:t>
      </w:r>
      <w:r w:rsidRPr="00ED1571">
        <w:rPr>
          <w:rFonts w:asciiTheme="minorHAnsi" w:hAnsiTheme="minorHAnsi" w:cs="Arial"/>
        </w:rPr>
        <w:t xml:space="preserve"> clauses include a requirement for the resolution of disputes between the Parties in accordance with the “Disputes clause,” the dispute shall be disposed of in accordance with the provision entitled “Disputes” </w:t>
      </w:r>
      <w:r w:rsidR="00ED1571" w:rsidRPr="00ED1571">
        <w:rPr>
          <w:rFonts w:asciiTheme="minorHAnsi" w:hAnsiTheme="minorHAnsi" w:cs="Arial"/>
        </w:rPr>
        <w:t xml:space="preserve">in this Order. </w:t>
      </w:r>
    </w:p>
    <w:p w:rsidR="007602D6" w:rsidRDefault="00264472" w:rsidP="001F750D">
      <w:pPr>
        <w:pStyle w:val="ListParagraph"/>
        <w:numPr>
          <w:ilvl w:val="1"/>
          <w:numId w:val="7"/>
        </w:numPr>
        <w:spacing w:after="0" w:line="220" w:lineRule="exact"/>
        <w:jc w:val="both"/>
        <w:rPr>
          <w:sz w:val="20"/>
          <w:szCs w:val="20"/>
        </w:rPr>
      </w:pPr>
      <w:r w:rsidRPr="00464189">
        <w:rPr>
          <w:sz w:val="20"/>
          <w:szCs w:val="20"/>
        </w:rPr>
        <w:t xml:space="preserve">The full text of a clause may be accessed electronically at </w:t>
      </w:r>
      <w:hyperlink r:id="rId8" w:history="1">
        <w:r w:rsidRPr="00464189">
          <w:rPr>
            <w:rStyle w:val="Hyperlink"/>
            <w:sz w:val="20"/>
            <w:szCs w:val="20"/>
          </w:rPr>
          <w:t>http://farsite.hill.af.mil</w:t>
        </w:r>
      </w:hyperlink>
      <w:r w:rsidRPr="00464189">
        <w:rPr>
          <w:sz w:val="20"/>
          <w:szCs w:val="20"/>
        </w:rPr>
        <w:t>.</w:t>
      </w:r>
    </w:p>
    <w:p w:rsidR="001F1876" w:rsidRPr="00464189" w:rsidRDefault="001F1876" w:rsidP="001F1876">
      <w:pPr>
        <w:pStyle w:val="ListParagraph"/>
        <w:spacing w:after="0" w:line="220" w:lineRule="exact"/>
        <w:jc w:val="both"/>
        <w:rPr>
          <w:sz w:val="20"/>
          <w:szCs w:val="20"/>
        </w:rPr>
      </w:pPr>
    </w:p>
    <w:p w:rsidR="00D16C83" w:rsidRPr="00464189" w:rsidRDefault="00D16C83" w:rsidP="00251ACE">
      <w:pPr>
        <w:pStyle w:val="ListParagraph"/>
        <w:spacing w:after="0" w:line="240" w:lineRule="auto"/>
        <w:jc w:val="both"/>
        <w:rPr>
          <w:sz w:val="20"/>
          <w:szCs w:val="20"/>
        </w:rPr>
      </w:pPr>
    </w:p>
    <w:tbl>
      <w:tblPr>
        <w:tblW w:w="10170" w:type="dxa"/>
        <w:tblInd w:w="640" w:type="dxa"/>
        <w:tblLayout w:type="fixed"/>
        <w:tblCellMar>
          <w:left w:w="100" w:type="dxa"/>
          <w:right w:w="100" w:type="dxa"/>
        </w:tblCellMar>
        <w:tblLook w:val="0000" w:firstRow="0" w:lastRow="0" w:firstColumn="0" w:lastColumn="0" w:noHBand="0" w:noVBand="0"/>
      </w:tblPr>
      <w:tblGrid>
        <w:gridCol w:w="1620"/>
        <w:gridCol w:w="7290"/>
        <w:gridCol w:w="1260"/>
      </w:tblGrid>
      <w:tr w:rsidR="00B1289A" w:rsidRPr="00CC56B7" w:rsidTr="00B1289A">
        <w:trPr>
          <w:tblHeader/>
        </w:trPr>
        <w:tc>
          <w:tcPr>
            <w:tcW w:w="1620" w:type="dxa"/>
            <w:tcBorders>
              <w:top w:val="single" w:sz="6" w:space="0" w:color="auto"/>
              <w:left w:val="single" w:sz="6" w:space="0" w:color="auto"/>
            </w:tcBorders>
            <w:shd w:val="pct25" w:color="auto" w:fill="auto"/>
          </w:tcPr>
          <w:p w:rsidR="00B1289A" w:rsidRPr="00CC56B7" w:rsidRDefault="00B1289A" w:rsidP="00DA2CAB">
            <w:pPr>
              <w:spacing w:after="0" w:line="240" w:lineRule="auto"/>
            </w:pPr>
            <w:r w:rsidRPr="00CC56B7">
              <w:t>CLAUSE NUMBER</w:t>
            </w:r>
          </w:p>
        </w:tc>
        <w:tc>
          <w:tcPr>
            <w:tcW w:w="7290" w:type="dxa"/>
            <w:tcBorders>
              <w:top w:val="single" w:sz="6" w:space="0" w:color="auto"/>
              <w:left w:val="single" w:sz="6" w:space="0" w:color="auto"/>
            </w:tcBorders>
            <w:shd w:val="pct25" w:color="auto" w:fill="auto"/>
          </w:tcPr>
          <w:p w:rsidR="00B1289A" w:rsidRPr="00CC56B7" w:rsidRDefault="00B1289A" w:rsidP="00DA2CAB">
            <w:pPr>
              <w:spacing w:after="0" w:line="240" w:lineRule="auto"/>
            </w:pPr>
            <w:r w:rsidRPr="00CC56B7">
              <w:t>CLAUSE NAME</w:t>
            </w:r>
          </w:p>
        </w:tc>
        <w:tc>
          <w:tcPr>
            <w:tcW w:w="1260" w:type="dxa"/>
            <w:tcBorders>
              <w:top w:val="single" w:sz="6" w:space="0" w:color="auto"/>
              <w:left w:val="single" w:sz="6" w:space="0" w:color="auto"/>
              <w:right w:val="single" w:sz="6" w:space="0" w:color="auto"/>
            </w:tcBorders>
            <w:shd w:val="pct25" w:color="auto" w:fill="auto"/>
          </w:tcPr>
          <w:p w:rsidR="00B1289A" w:rsidRPr="00CC56B7" w:rsidRDefault="00B1289A" w:rsidP="00DA2CAB">
            <w:pPr>
              <w:spacing w:after="0" w:line="240" w:lineRule="auto"/>
              <w:jc w:val="center"/>
            </w:pPr>
            <w:r w:rsidRPr="00CC56B7">
              <w:t>CLAUSE DATE</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rPr>
                <w:b/>
              </w:rPr>
              <w:t>FAR</w:t>
            </w:r>
          </w:p>
        </w:tc>
        <w:tc>
          <w:tcPr>
            <w:tcW w:w="7290" w:type="dxa"/>
            <w:tcBorders>
              <w:top w:val="single" w:sz="6" w:space="0" w:color="auto"/>
              <w:left w:val="single" w:sz="6" w:space="0" w:color="auto"/>
            </w:tcBorders>
          </w:tcPr>
          <w:p w:rsidR="00B1289A" w:rsidRPr="00CC56B7" w:rsidRDefault="00B1289A" w:rsidP="00DA2CAB">
            <w:pPr>
              <w:spacing w:after="0" w:line="240" w:lineRule="auto"/>
            </w:pPr>
            <w:r w:rsidRPr="00CC56B7">
              <w:rPr>
                <w:b/>
              </w:rPr>
              <w:t xml:space="preserve">Federal Acquisition Regulation </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52.202-1</w:t>
            </w:r>
          </w:p>
        </w:tc>
        <w:tc>
          <w:tcPr>
            <w:tcW w:w="7290" w:type="dxa"/>
            <w:tcBorders>
              <w:top w:val="single" w:sz="6" w:space="0" w:color="auto"/>
              <w:left w:val="single" w:sz="6" w:space="0" w:color="auto"/>
            </w:tcBorders>
          </w:tcPr>
          <w:p w:rsidR="00D16C83" w:rsidRDefault="00B1289A" w:rsidP="00DA2CAB">
            <w:pPr>
              <w:spacing w:after="0" w:line="240" w:lineRule="auto"/>
            </w:pPr>
            <w:r w:rsidRPr="00CC56B7">
              <w:t>Definitions</w:t>
            </w:r>
            <w:r>
              <w:t xml:space="preserve"> </w:t>
            </w:r>
          </w:p>
          <w:p w:rsidR="00B1289A" w:rsidRPr="00CC56B7" w:rsidRDefault="00B1289A" w:rsidP="00DA2CAB">
            <w:pPr>
              <w:spacing w:after="0" w:line="240" w:lineRule="auto"/>
              <w:rPr>
                <w:i/>
              </w:rPr>
            </w:pPr>
            <w:r w:rsidRPr="00CC56B7">
              <w:rPr>
                <w:i/>
              </w:rPr>
              <w:t>(“solicitation” means the Buyer’s customer’s solicitation under which the Order is issued)</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r w:rsidRPr="00CC56B7">
              <w:t>(J</w:t>
            </w:r>
            <w:r>
              <w:t>an</w:t>
            </w:r>
            <w:r w:rsidRPr="00CC56B7">
              <w:t xml:space="preserve"> 20</w:t>
            </w:r>
            <w:r>
              <w:t>12</w:t>
            </w:r>
            <w:r w:rsidRPr="00CC56B7">
              <w:t>)</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52.203-3</w:t>
            </w:r>
          </w:p>
        </w:tc>
        <w:tc>
          <w:tcPr>
            <w:tcW w:w="7290" w:type="dxa"/>
            <w:tcBorders>
              <w:top w:val="single" w:sz="6" w:space="0" w:color="auto"/>
              <w:left w:val="single" w:sz="6" w:space="0" w:color="auto"/>
            </w:tcBorders>
          </w:tcPr>
          <w:p w:rsidR="00D16C83" w:rsidRDefault="00B1289A" w:rsidP="00DA2CAB">
            <w:pPr>
              <w:spacing w:after="0" w:line="240" w:lineRule="auto"/>
            </w:pPr>
            <w:r w:rsidRPr="00CC56B7">
              <w:t>Gratuities</w:t>
            </w:r>
            <w:r>
              <w:t xml:space="preserve"> </w:t>
            </w:r>
          </w:p>
          <w:p w:rsidR="00B1289A" w:rsidRPr="00CC56B7" w:rsidRDefault="00B1289A" w:rsidP="00DA2CAB">
            <w:pPr>
              <w:spacing w:after="0" w:line="240" w:lineRule="auto"/>
            </w:pPr>
            <w:r w:rsidRPr="00CC56B7">
              <w:rPr>
                <w:i/>
              </w:rPr>
              <w:t>(“Government” means “Buyer” (except “Government” means “Buyer or Govern</w:t>
            </w:r>
            <w:r w:rsidRPr="00CC56B7">
              <w:rPr>
                <w:i/>
              </w:rPr>
              <w:softHyphen/>
              <w:t>ment” in the phrase “to any officer or employee of the Government”))</w:t>
            </w:r>
            <w:r w:rsidRPr="00CC56B7">
              <w:t>.</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r w:rsidRPr="00CC56B7">
              <w:t>(Apr 1984)</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52.203-6</w:t>
            </w:r>
            <w:r w:rsidR="000F265F">
              <w:t>*</w:t>
            </w:r>
          </w:p>
        </w:tc>
        <w:tc>
          <w:tcPr>
            <w:tcW w:w="7290" w:type="dxa"/>
            <w:tcBorders>
              <w:top w:val="single" w:sz="6" w:space="0" w:color="auto"/>
              <w:left w:val="single" w:sz="6" w:space="0" w:color="auto"/>
            </w:tcBorders>
          </w:tcPr>
          <w:p w:rsidR="00B1289A" w:rsidRPr="00CC56B7" w:rsidRDefault="00B1289A" w:rsidP="00DA2CAB">
            <w:pPr>
              <w:spacing w:after="0" w:line="240" w:lineRule="auto"/>
            </w:pPr>
            <w:r w:rsidRPr="00CC56B7">
              <w:t xml:space="preserve">Restrictions on Subcontractor Sales to the Government  </w:t>
            </w:r>
          </w:p>
          <w:p w:rsidR="00B1289A" w:rsidRPr="00CC56B7" w:rsidRDefault="00B1289A" w:rsidP="00DA2CAB">
            <w:pPr>
              <w:spacing w:after="0" w:line="240" w:lineRule="auto"/>
            </w:pPr>
            <w:r w:rsidRPr="00CC56B7">
              <w:rPr>
                <w:i/>
              </w:rPr>
              <w:t>(applies to Orders over Simplified Acquisition Threshold (SAT)) (Alt 1 applies to commercial items)</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r w:rsidRPr="00CC56B7">
              <w:t>(Sep 2006)</w:t>
            </w:r>
          </w:p>
        </w:tc>
      </w:tr>
      <w:tr w:rsidR="00B1289A" w:rsidRPr="00CC56B7" w:rsidTr="00B1289A">
        <w:tc>
          <w:tcPr>
            <w:tcW w:w="1620" w:type="dxa"/>
            <w:tcBorders>
              <w:top w:val="single" w:sz="6" w:space="0" w:color="auto"/>
              <w:left w:val="single" w:sz="6" w:space="0" w:color="auto"/>
              <w:bottom w:val="single" w:sz="6" w:space="0" w:color="auto"/>
            </w:tcBorders>
          </w:tcPr>
          <w:p w:rsidR="00B1289A" w:rsidRPr="00CC56B7" w:rsidRDefault="00B1289A" w:rsidP="00DA2CAB">
            <w:pPr>
              <w:spacing w:after="0" w:line="240" w:lineRule="auto"/>
            </w:pPr>
            <w:r w:rsidRPr="00CC56B7">
              <w:t>52.203-7</w:t>
            </w:r>
            <w:r w:rsidR="000F265F">
              <w:t>*</w:t>
            </w:r>
          </w:p>
        </w:tc>
        <w:tc>
          <w:tcPr>
            <w:tcW w:w="7290" w:type="dxa"/>
            <w:tcBorders>
              <w:top w:val="single" w:sz="6" w:space="0" w:color="auto"/>
              <w:left w:val="single" w:sz="6" w:space="0" w:color="auto"/>
              <w:bottom w:val="single" w:sz="6" w:space="0" w:color="auto"/>
            </w:tcBorders>
          </w:tcPr>
          <w:p w:rsidR="00B1289A" w:rsidRPr="00CC56B7" w:rsidRDefault="00B1289A" w:rsidP="00DA2CAB">
            <w:pPr>
              <w:spacing w:after="0" w:line="240" w:lineRule="auto"/>
            </w:pPr>
            <w:r w:rsidRPr="00CC56B7">
              <w:t xml:space="preserve">Anti-Kickback Procedures </w:t>
            </w:r>
            <w:r>
              <w:t xml:space="preserve"> </w:t>
            </w:r>
          </w:p>
          <w:p w:rsidR="00B1289A" w:rsidRPr="00CC56B7" w:rsidRDefault="00B1289A" w:rsidP="00DA2CAB">
            <w:pPr>
              <w:spacing w:after="0" w:line="240" w:lineRule="auto"/>
              <w:rPr>
                <w:i/>
              </w:rPr>
            </w:pPr>
            <w:r w:rsidRPr="00CC56B7">
              <w:rPr>
                <w:i/>
              </w:rPr>
              <w:t>(applies to Orders over SAT) (Alt 1 applies to commercial items)</w:t>
            </w:r>
          </w:p>
        </w:tc>
        <w:tc>
          <w:tcPr>
            <w:tcW w:w="1260" w:type="dxa"/>
            <w:tcBorders>
              <w:top w:val="single" w:sz="6" w:space="0" w:color="auto"/>
              <w:left w:val="single" w:sz="6" w:space="0" w:color="auto"/>
              <w:bottom w:val="single" w:sz="6" w:space="0" w:color="auto"/>
              <w:right w:val="single" w:sz="6"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rPr>
          <w:trHeight w:val="183"/>
        </w:trPr>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52.203-</w:t>
            </w:r>
            <w:r w:rsidRPr="00CC56B7" w:rsidDel="007C1E96">
              <w:t>8</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rsidDel="007C1E96">
              <w:t xml:space="preserve">Cancellation, Rescission, </w:t>
            </w:r>
            <w:r w:rsidRPr="00CC56B7">
              <w:t>a</w:t>
            </w:r>
            <w:r w:rsidRPr="00CC56B7" w:rsidDel="007C1E96">
              <w:t xml:space="preserve">nd Recovery </w:t>
            </w:r>
            <w:r w:rsidRPr="00CC56B7">
              <w:t>o</w:t>
            </w:r>
            <w:r w:rsidRPr="00CC56B7" w:rsidDel="007C1E96">
              <w:t xml:space="preserve">f Funds </w:t>
            </w:r>
            <w:r w:rsidRPr="00CC56B7">
              <w:t>f</w:t>
            </w:r>
            <w:r w:rsidRPr="00CC56B7" w:rsidDel="007C1E96">
              <w:t xml:space="preserve">or Illegal </w:t>
            </w:r>
            <w:r w:rsidRPr="00CC56B7">
              <w:t>o</w:t>
            </w:r>
            <w:r w:rsidRPr="00CC56B7" w:rsidDel="007C1E96">
              <w:t>r Improper Activity</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rsidDel="007C1E96">
              <w:t>(Jan 1997)</w:t>
            </w:r>
          </w:p>
        </w:tc>
      </w:tr>
      <w:tr w:rsidR="00B1289A" w:rsidRPr="00CC56B7" w:rsidTr="00B1289A">
        <w:tc>
          <w:tcPr>
            <w:tcW w:w="162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52.203-10</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Price or Fee Adjustment for Illegal or Improper Activity</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(Jan 1997)</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52.203-12</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Limitation on Payments to Influence Certain Federal Transactions </w:t>
            </w:r>
          </w:p>
          <w:p w:rsidR="00B1289A" w:rsidRPr="00CC56B7" w:rsidRDefault="00B1289A" w:rsidP="00DA2CAB">
            <w:pPr>
              <w:spacing w:after="0" w:line="240" w:lineRule="auto"/>
            </w:pPr>
            <w:r w:rsidRPr="00CC56B7">
              <w:rPr>
                <w:i/>
              </w:rPr>
              <w:t>(applies to Orders over $150,000)</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52.203-13</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rPr>
            </w:pPr>
            <w:r w:rsidRPr="00CC56B7">
              <w:t xml:space="preserve">Contractor Code of Business Ethics and Conduct </w:t>
            </w:r>
            <w:r w:rsidRPr="00CC56B7">
              <w:rPr>
                <w:i/>
              </w:rPr>
              <w:t xml:space="preserve"> </w:t>
            </w:r>
          </w:p>
          <w:p w:rsidR="00B1289A" w:rsidRPr="00CC56B7" w:rsidRDefault="00B1289A" w:rsidP="00DA2CAB">
            <w:pPr>
              <w:spacing w:after="0" w:line="240" w:lineRule="auto"/>
            </w:pPr>
            <w:r w:rsidRPr="00CC56B7">
              <w:rPr>
                <w:i/>
              </w:rPr>
              <w:t>(applies to Orders over $5,000,000 and has a performance period of more than 120 days. Notwithstanding any alterations to this clause to reflect the relationship between Buyer and Seller, all disclosures of violation of the civil False Claims Act or of Federal criminal law shall be directed to the Office of the Inspector General of the agency issuing the prime contract under which this subcontract is being issued, with a copy to the Contracting Officer of the prime contract.)</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Apr</w:t>
            </w:r>
            <w:r w:rsidRPr="00CC56B7">
              <w:t xml:space="preserve"> 2010)</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52.204-2</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Security Requirements </w:t>
            </w:r>
          </w:p>
          <w:p w:rsidR="00B1289A" w:rsidRPr="00CC56B7" w:rsidRDefault="00B1289A" w:rsidP="00DA2CAB">
            <w:pPr>
              <w:spacing w:after="0" w:line="240" w:lineRule="auto"/>
              <w:rPr>
                <w:i/>
              </w:rPr>
            </w:pPr>
            <w:r w:rsidRPr="00CC56B7">
              <w:rPr>
                <w:i/>
              </w:rPr>
              <w:t>(applies to Orders that involve access to classified information, delete para. (c))</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(Aug 1996)</w:t>
            </w:r>
          </w:p>
        </w:tc>
      </w:tr>
      <w:tr w:rsidR="00F0443D" w:rsidRPr="00CC56B7" w:rsidTr="00B1289A">
        <w:tc>
          <w:tcPr>
            <w:tcW w:w="1620" w:type="dxa"/>
            <w:tcBorders>
              <w:top w:val="single" w:sz="4" w:space="0" w:color="auto"/>
              <w:left w:val="single" w:sz="4" w:space="0" w:color="auto"/>
              <w:bottom w:val="single" w:sz="4" w:space="0" w:color="auto"/>
            </w:tcBorders>
          </w:tcPr>
          <w:p w:rsidR="00F0443D" w:rsidRDefault="00F0443D" w:rsidP="00DA2CAB">
            <w:pPr>
              <w:spacing w:after="0" w:line="240" w:lineRule="auto"/>
            </w:pPr>
            <w:r>
              <w:t>52.204-4</w:t>
            </w:r>
          </w:p>
        </w:tc>
        <w:tc>
          <w:tcPr>
            <w:tcW w:w="7290" w:type="dxa"/>
            <w:tcBorders>
              <w:top w:val="single" w:sz="4" w:space="0" w:color="auto"/>
              <w:left w:val="single" w:sz="6" w:space="0" w:color="auto"/>
              <w:bottom w:val="single" w:sz="4" w:space="0" w:color="auto"/>
            </w:tcBorders>
          </w:tcPr>
          <w:p w:rsidR="00F0443D" w:rsidRDefault="00F0443D" w:rsidP="00DA2CAB">
            <w:pPr>
              <w:spacing w:after="0" w:line="240" w:lineRule="auto"/>
            </w:pPr>
            <w:r>
              <w:t>Printed or Coped Double-Sided on Postconsumer Fiber Content Paper</w:t>
            </w:r>
          </w:p>
        </w:tc>
        <w:tc>
          <w:tcPr>
            <w:tcW w:w="1260" w:type="dxa"/>
            <w:tcBorders>
              <w:top w:val="single" w:sz="4" w:space="0" w:color="auto"/>
              <w:left w:val="single" w:sz="6" w:space="0" w:color="auto"/>
              <w:bottom w:val="single" w:sz="4" w:space="0" w:color="auto"/>
              <w:right w:val="single" w:sz="4" w:space="0" w:color="auto"/>
            </w:tcBorders>
          </w:tcPr>
          <w:p w:rsidR="00F0443D" w:rsidRDefault="00F0443D" w:rsidP="00DA2CAB">
            <w:pPr>
              <w:spacing w:after="0" w:line="240" w:lineRule="auto"/>
              <w:jc w:val="center"/>
            </w:pPr>
            <w:r>
              <w:t>(May 2011)</w:t>
            </w:r>
          </w:p>
        </w:tc>
      </w:tr>
      <w:tr w:rsidR="00F0443D" w:rsidRPr="00CC56B7" w:rsidTr="00B1289A">
        <w:tc>
          <w:tcPr>
            <w:tcW w:w="1620" w:type="dxa"/>
            <w:tcBorders>
              <w:top w:val="single" w:sz="4" w:space="0" w:color="auto"/>
              <w:left w:val="single" w:sz="4" w:space="0" w:color="auto"/>
              <w:bottom w:val="single" w:sz="4" w:space="0" w:color="auto"/>
            </w:tcBorders>
          </w:tcPr>
          <w:p w:rsidR="00F0443D" w:rsidRDefault="00F0443D" w:rsidP="00DA2CAB">
            <w:pPr>
              <w:spacing w:after="0" w:line="240" w:lineRule="auto"/>
            </w:pPr>
            <w:r>
              <w:t>52.204-10</w:t>
            </w:r>
          </w:p>
        </w:tc>
        <w:tc>
          <w:tcPr>
            <w:tcW w:w="7290" w:type="dxa"/>
            <w:tcBorders>
              <w:top w:val="single" w:sz="4" w:space="0" w:color="auto"/>
              <w:left w:val="single" w:sz="6" w:space="0" w:color="auto"/>
              <w:bottom w:val="single" w:sz="4" w:space="0" w:color="auto"/>
            </w:tcBorders>
          </w:tcPr>
          <w:p w:rsidR="00F0443D" w:rsidRDefault="00F0443D" w:rsidP="00DA2CAB">
            <w:pPr>
              <w:spacing w:after="0" w:line="240" w:lineRule="auto"/>
            </w:pPr>
            <w:r>
              <w:t>Reporting Executive  Compensation and First-Tier Subcontract Awards</w:t>
            </w:r>
          </w:p>
        </w:tc>
        <w:tc>
          <w:tcPr>
            <w:tcW w:w="1260" w:type="dxa"/>
            <w:tcBorders>
              <w:top w:val="single" w:sz="4" w:space="0" w:color="auto"/>
              <w:left w:val="single" w:sz="6" w:space="0" w:color="auto"/>
              <w:bottom w:val="single" w:sz="4" w:space="0" w:color="auto"/>
              <w:right w:val="single" w:sz="4" w:space="0" w:color="auto"/>
            </w:tcBorders>
          </w:tcPr>
          <w:p w:rsidR="00F0443D" w:rsidRDefault="00F0443D" w:rsidP="00DA2CAB">
            <w:pPr>
              <w:spacing w:after="0" w:line="240" w:lineRule="auto"/>
              <w:jc w:val="center"/>
            </w:pPr>
            <w:r>
              <w:t>(Feb 2012)</w:t>
            </w:r>
          </w:p>
        </w:tc>
      </w:tr>
      <w:tr w:rsidR="000F265F" w:rsidRPr="00CC56B7" w:rsidTr="001F0D92">
        <w:tc>
          <w:tcPr>
            <w:tcW w:w="1620" w:type="dxa"/>
            <w:tcBorders>
              <w:top w:val="single" w:sz="4" w:space="0" w:color="auto"/>
              <w:left w:val="single" w:sz="4" w:space="0" w:color="auto"/>
              <w:bottom w:val="single" w:sz="4" w:space="0" w:color="auto"/>
            </w:tcBorders>
          </w:tcPr>
          <w:p w:rsidR="000F265F" w:rsidRDefault="000F265F" w:rsidP="001F0D92">
            <w:pPr>
              <w:spacing w:after="0" w:line="240" w:lineRule="auto"/>
            </w:pPr>
            <w:r>
              <w:t>52.204-21*</w:t>
            </w:r>
          </w:p>
        </w:tc>
        <w:tc>
          <w:tcPr>
            <w:tcW w:w="7290" w:type="dxa"/>
            <w:tcBorders>
              <w:top w:val="single" w:sz="4" w:space="0" w:color="auto"/>
              <w:left w:val="single" w:sz="6" w:space="0" w:color="auto"/>
              <w:bottom w:val="single" w:sz="4" w:space="0" w:color="auto"/>
            </w:tcBorders>
          </w:tcPr>
          <w:p w:rsidR="000F265F" w:rsidRDefault="000F265F" w:rsidP="001F0D92">
            <w:pPr>
              <w:spacing w:after="0" w:line="240" w:lineRule="auto"/>
            </w:pPr>
            <w:r>
              <w:t>Basic Safeguarding of Covered Contractor Information</w:t>
            </w:r>
          </w:p>
          <w:p w:rsidR="000F265F" w:rsidRDefault="000F265F" w:rsidP="001F0D92">
            <w:pPr>
              <w:spacing w:after="0" w:line="240" w:lineRule="auto"/>
            </w:pPr>
            <w:r>
              <w:t>Systems</w:t>
            </w:r>
          </w:p>
        </w:tc>
        <w:tc>
          <w:tcPr>
            <w:tcW w:w="1260" w:type="dxa"/>
            <w:tcBorders>
              <w:top w:val="single" w:sz="4" w:space="0" w:color="auto"/>
              <w:left w:val="single" w:sz="6" w:space="0" w:color="auto"/>
              <w:bottom w:val="single" w:sz="4" w:space="0" w:color="auto"/>
              <w:right w:val="single" w:sz="4" w:space="0" w:color="auto"/>
            </w:tcBorders>
          </w:tcPr>
          <w:p w:rsidR="000F265F" w:rsidRDefault="000F265F" w:rsidP="001F0D92">
            <w:pPr>
              <w:spacing w:after="0" w:line="240" w:lineRule="auto"/>
              <w:jc w:val="center"/>
            </w:pPr>
            <w:r>
              <w:t>(Jun 2016)</w:t>
            </w:r>
          </w:p>
        </w:tc>
      </w:tr>
      <w:tr w:rsidR="000F265F" w:rsidRPr="00CC56B7" w:rsidTr="001F0D92">
        <w:tc>
          <w:tcPr>
            <w:tcW w:w="1620" w:type="dxa"/>
            <w:tcBorders>
              <w:top w:val="single" w:sz="4" w:space="0" w:color="auto"/>
              <w:left w:val="single" w:sz="4" w:space="0" w:color="auto"/>
              <w:bottom w:val="single" w:sz="4" w:space="0" w:color="auto"/>
            </w:tcBorders>
          </w:tcPr>
          <w:p w:rsidR="000F265F" w:rsidRDefault="000F265F" w:rsidP="001F0D92">
            <w:pPr>
              <w:spacing w:after="0" w:line="240" w:lineRule="auto"/>
            </w:pPr>
            <w:r>
              <w:t>52.204-23*</w:t>
            </w:r>
          </w:p>
        </w:tc>
        <w:tc>
          <w:tcPr>
            <w:tcW w:w="7290" w:type="dxa"/>
            <w:tcBorders>
              <w:top w:val="single" w:sz="4" w:space="0" w:color="auto"/>
              <w:left w:val="single" w:sz="6" w:space="0" w:color="auto"/>
              <w:bottom w:val="single" w:sz="4" w:space="0" w:color="auto"/>
            </w:tcBorders>
          </w:tcPr>
          <w:p w:rsidR="000F265F" w:rsidRDefault="000F265F" w:rsidP="001F0D92">
            <w:pPr>
              <w:spacing w:after="0" w:line="240" w:lineRule="auto"/>
            </w:pPr>
            <w:r>
              <w:t>Prohibition on Contracting for Hardware, Software, and</w:t>
            </w:r>
          </w:p>
          <w:p w:rsidR="000F265F" w:rsidRDefault="000F265F" w:rsidP="001F0D92">
            <w:pPr>
              <w:spacing w:after="0" w:line="240" w:lineRule="auto"/>
            </w:pPr>
            <w:r>
              <w:t>Services Developed or Provided by Kaspersky Lab and Other</w:t>
            </w:r>
          </w:p>
          <w:p w:rsidR="000F265F" w:rsidRDefault="000F265F" w:rsidP="001F0D92">
            <w:pPr>
              <w:spacing w:after="0" w:line="240" w:lineRule="auto"/>
            </w:pPr>
            <w:r>
              <w:t>Covered Entities</w:t>
            </w:r>
          </w:p>
        </w:tc>
        <w:tc>
          <w:tcPr>
            <w:tcW w:w="1260" w:type="dxa"/>
            <w:tcBorders>
              <w:top w:val="single" w:sz="4" w:space="0" w:color="auto"/>
              <w:left w:val="single" w:sz="6" w:space="0" w:color="auto"/>
              <w:bottom w:val="single" w:sz="4" w:space="0" w:color="auto"/>
              <w:right w:val="single" w:sz="4" w:space="0" w:color="auto"/>
            </w:tcBorders>
          </w:tcPr>
          <w:p w:rsidR="000F265F" w:rsidRDefault="000F265F" w:rsidP="001F0D92">
            <w:pPr>
              <w:spacing w:after="0" w:line="240" w:lineRule="auto"/>
              <w:jc w:val="center"/>
            </w:pPr>
            <w:r>
              <w:t>(Jul 2018)</w:t>
            </w:r>
          </w:p>
        </w:tc>
      </w:tr>
      <w:tr w:rsidR="000F265F" w:rsidRPr="00CC56B7" w:rsidTr="001F0D92">
        <w:tc>
          <w:tcPr>
            <w:tcW w:w="1620" w:type="dxa"/>
            <w:tcBorders>
              <w:top w:val="single" w:sz="4" w:space="0" w:color="auto"/>
              <w:left w:val="single" w:sz="4" w:space="0" w:color="auto"/>
              <w:bottom w:val="single" w:sz="4" w:space="0" w:color="auto"/>
            </w:tcBorders>
          </w:tcPr>
          <w:p w:rsidR="000F265F" w:rsidRDefault="000F265F" w:rsidP="001F0D92">
            <w:pPr>
              <w:spacing w:after="0" w:line="240" w:lineRule="auto"/>
            </w:pPr>
            <w:r>
              <w:t>52.204-24</w:t>
            </w:r>
          </w:p>
        </w:tc>
        <w:tc>
          <w:tcPr>
            <w:tcW w:w="7290" w:type="dxa"/>
            <w:tcBorders>
              <w:top w:val="single" w:sz="4" w:space="0" w:color="auto"/>
              <w:left w:val="single" w:sz="6" w:space="0" w:color="auto"/>
              <w:bottom w:val="single" w:sz="4" w:space="0" w:color="auto"/>
            </w:tcBorders>
          </w:tcPr>
          <w:p w:rsidR="000F265F" w:rsidRDefault="000F265F" w:rsidP="001F0D92">
            <w:pPr>
              <w:spacing w:after="0" w:line="240" w:lineRule="auto"/>
            </w:pPr>
            <w:r>
              <w:t>Representation Regarding Certain Telecommunications and</w:t>
            </w:r>
          </w:p>
          <w:p w:rsidR="000F265F" w:rsidRDefault="000F265F" w:rsidP="001F0D92">
            <w:pPr>
              <w:spacing w:after="0" w:line="240" w:lineRule="auto"/>
            </w:pPr>
            <w:r>
              <w:t>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0F265F" w:rsidRDefault="000F265F" w:rsidP="001F0D92">
            <w:pPr>
              <w:spacing w:after="0" w:line="240" w:lineRule="auto"/>
              <w:jc w:val="center"/>
            </w:pPr>
            <w:r>
              <w:t>(Aug 2020)</w:t>
            </w:r>
          </w:p>
        </w:tc>
      </w:tr>
      <w:tr w:rsidR="000F265F" w:rsidRPr="00CC56B7" w:rsidTr="001F0D92">
        <w:tc>
          <w:tcPr>
            <w:tcW w:w="1620" w:type="dxa"/>
            <w:tcBorders>
              <w:top w:val="single" w:sz="4" w:space="0" w:color="auto"/>
              <w:left w:val="single" w:sz="4" w:space="0" w:color="auto"/>
              <w:bottom w:val="single" w:sz="4" w:space="0" w:color="auto"/>
            </w:tcBorders>
          </w:tcPr>
          <w:p w:rsidR="000F265F" w:rsidRDefault="000F265F" w:rsidP="001F0D92">
            <w:pPr>
              <w:spacing w:after="0" w:line="240" w:lineRule="auto"/>
            </w:pPr>
            <w:r>
              <w:t>52.204-25*</w:t>
            </w:r>
          </w:p>
        </w:tc>
        <w:tc>
          <w:tcPr>
            <w:tcW w:w="7290" w:type="dxa"/>
            <w:tcBorders>
              <w:top w:val="single" w:sz="4" w:space="0" w:color="auto"/>
              <w:left w:val="single" w:sz="6" w:space="0" w:color="auto"/>
              <w:bottom w:val="single" w:sz="4" w:space="0" w:color="auto"/>
            </w:tcBorders>
          </w:tcPr>
          <w:p w:rsidR="000F265F" w:rsidRDefault="000F265F" w:rsidP="001F0D92">
            <w:pPr>
              <w:spacing w:after="0" w:line="240" w:lineRule="auto"/>
            </w:pPr>
            <w:r>
              <w:t>Prohibition on Contracting for Certain Telecommunications</w:t>
            </w:r>
          </w:p>
          <w:p w:rsidR="000F265F" w:rsidRDefault="000F265F" w:rsidP="001F0D92">
            <w:pPr>
              <w:spacing w:after="0" w:line="240" w:lineRule="auto"/>
            </w:pPr>
            <w:r>
              <w:t>and 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0F265F" w:rsidRDefault="000F265F" w:rsidP="001F0D92">
            <w:pPr>
              <w:spacing w:after="0" w:line="240" w:lineRule="auto"/>
              <w:jc w:val="center"/>
            </w:pPr>
            <w:r>
              <w:t>(Aug 2020)</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t>52.209-6</w:t>
            </w:r>
            <w:r w:rsidR="000F265F">
              <w:t>*</w:t>
            </w:r>
          </w:p>
        </w:tc>
        <w:tc>
          <w:tcPr>
            <w:tcW w:w="7290" w:type="dxa"/>
            <w:tcBorders>
              <w:top w:val="single" w:sz="4" w:space="0" w:color="auto"/>
              <w:left w:val="single" w:sz="6" w:space="0" w:color="auto"/>
              <w:bottom w:val="single" w:sz="4" w:space="0" w:color="auto"/>
            </w:tcBorders>
          </w:tcPr>
          <w:p w:rsidR="00D16C83" w:rsidRDefault="00B1289A" w:rsidP="00DA2CAB">
            <w:pPr>
              <w:spacing w:after="0" w:line="240" w:lineRule="auto"/>
            </w:pPr>
            <w:r>
              <w:t xml:space="preserve">Protecting the Government’s Interest when Subcontracting with Contractors Debarred, Suspended, or Proposed for Debarment </w:t>
            </w:r>
          </w:p>
          <w:p w:rsidR="00B1289A" w:rsidRPr="00141AED" w:rsidRDefault="00B1289A" w:rsidP="00DA2CAB">
            <w:pPr>
              <w:spacing w:after="0" w:line="240" w:lineRule="auto"/>
              <w:rPr>
                <w:i/>
              </w:rPr>
            </w:pPr>
            <w:r>
              <w:t>(</w:t>
            </w:r>
            <w:r>
              <w:rPr>
                <w:i/>
              </w:rPr>
              <w:t>applies to Orders that exceed $30,000, except COTS items)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t>(Dec 2010)</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F0443D" w:rsidP="00DA2CAB">
            <w:pPr>
              <w:spacing w:after="0" w:line="240" w:lineRule="auto"/>
            </w:pPr>
            <w:r>
              <w:t>52.211-</w:t>
            </w:r>
            <w:r w:rsidR="00B1289A" w:rsidRPr="00CC56B7">
              <w:t>5</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Material Requirements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(Aug 2000)</w:t>
            </w:r>
          </w:p>
        </w:tc>
      </w:tr>
      <w:tr w:rsidR="00B1289A" w:rsidRPr="00CC56B7" w:rsidTr="00B1289A">
        <w:tc>
          <w:tcPr>
            <w:tcW w:w="162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52.211-15</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Defense Priority and Allocation Requirement</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(Apr 2008)</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52.215-2</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Audit And Records </w:t>
            </w:r>
            <w:r w:rsidRPr="00CC56B7" w:rsidDel="00990E53">
              <w:t>-</w:t>
            </w:r>
            <w:r w:rsidRPr="00CC56B7">
              <w:t>– Negotiation</w:t>
            </w:r>
          </w:p>
          <w:p w:rsidR="00B1289A" w:rsidRPr="00CC56B7" w:rsidRDefault="00B1289A" w:rsidP="00DA2CAB">
            <w:pPr>
              <w:spacing w:after="0" w:line="240" w:lineRule="auto"/>
              <w:rPr>
                <w:i/>
              </w:rPr>
            </w:pPr>
            <w:r w:rsidRPr="00CC56B7">
              <w:rPr>
                <w:i/>
              </w:rPr>
              <w:t>(applies to Orders over the SAT threshold)</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52.215-10</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Price Reduction for Defective Cost or Pricing Data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Aug 2011</w:t>
            </w:r>
            <w:r w:rsidRPr="00CC56B7">
              <w:t>)</w:t>
            </w:r>
          </w:p>
        </w:tc>
      </w:tr>
      <w:tr w:rsidR="00B1289A" w:rsidRPr="00CC56B7" w:rsidTr="00B1289A">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52.215-12</w:t>
            </w:r>
            <w:r w:rsidR="000F265F">
              <w:t>*</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Subcontractor Cost or Pricing Data </w:t>
            </w:r>
          </w:p>
          <w:p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t>(Oct 2010</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52.215-14</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Integrity of Unit Prices and Alt I (Oct 1997) </w:t>
            </w:r>
          </w:p>
          <w:p w:rsidR="00B1289A" w:rsidRPr="00CC56B7" w:rsidRDefault="00B1289A" w:rsidP="00DA2CAB">
            <w:pPr>
              <w:spacing w:after="0" w:line="240" w:lineRule="auto"/>
              <w:rPr>
                <w:i/>
              </w:rPr>
            </w:pPr>
            <w:r w:rsidRPr="00CC56B7">
              <w:rPr>
                <w:i/>
              </w:rPr>
              <w:t>(applies to Orders over the SAT threshold, delete paragraph(b))</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t>(Oct 2010</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52.215-15</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Pension Adjustments and Asset Reversions</w:t>
            </w:r>
          </w:p>
          <w:p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 xml:space="preserve">(Oct </w:t>
            </w:r>
            <w:r>
              <w:t>2010</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52.215-18</w:t>
            </w:r>
            <w:r w:rsidR="000F265F">
              <w:t>*</w:t>
            </w:r>
          </w:p>
        </w:tc>
        <w:tc>
          <w:tcPr>
            <w:tcW w:w="7290" w:type="dxa"/>
            <w:tcBorders>
              <w:top w:val="single" w:sz="4" w:space="0" w:color="auto"/>
              <w:left w:val="nil"/>
              <w:bottom w:val="single" w:sz="4" w:space="0" w:color="auto"/>
              <w:right w:val="single" w:sz="4" w:space="0" w:color="auto"/>
            </w:tcBorders>
          </w:tcPr>
          <w:p w:rsidR="00D16C83" w:rsidRDefault="00B1289A" w:rsidP="00DA2CAB">
            <w:pPr>
              <w:spacing w:after="0" w:line="240" w:lineRule="auto"/>
            </w:pPr>
            <w:r w:rsidRPr="00CC56B7">
              <w:t xml:space="preserve">Reversion or Adjustment of Plans for Post Retirement Benefits (PRB) Other Than Pensions </w:t>
            </w:r>
          </w:p>
          <w:p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4" w:space="0" w:color="auto"/>
              <w:left w:val="nil"/>
              <w:bottom w:val="single" w:sz="4" w:space="0" w:color="auto"/>
              <w:right w:val="single" w:sz="4" w:space="0" w:color="auto"/>
            </w:tcBorders>
          </w:tcPr>
          <w:p w:rsidR="00B1289A" w:rsidRPr="00CC56B7" w:rsidRDefault="00B1289A" w:rsidP="00DA2CAB">
            <w:pPr>
              <w:spacing w:after="0" w:line="240" w:lineRule="auto"/>
              <w:jc w:val="center"/>
            </w:pPr>
            <w:r w:rsidRPr="00CC56B7">
              <w:t>(Jul 2005)</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F85CFA">
              <w:t>52.215-19</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t>Notification of Ownership Changes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t>(Oct 1997)</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52.215-21</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Requirements for Cost or Pricing Data or Information Other Than Cost or Pricing Data - Modifications  (</w:t>
            </w:r>
            <w:r w:rsidRPr="00CC56B7">
              <w:rPr>
                <w:i/>
              </w:rPr>
              <w:t>including Alt II)</w:t>
            </w:r>
            <w:r w:rsidRPr="00CC56B7">
              <w:t xml:space="preserve">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left w:val="single" w:sz="4" w:space="0" w:color="auto"/>
              <w:bottom w:val="single" w:sz="4" w:space="0" w:color="auto"/>
            </w:tcBorders>
          </w:tcPr>
          <w:p w:rsidR="00B1289A" w:rsidRPr="00CC56B7" w:rsidRDefault="00B1289A" w:rsidP="00DA2CAB">
            <w:pPr>
              <w:spacing w:after="0" w:line="240" w:lineRule="auto"/>
            </w:pPr>
            <w:r w:rsidRPr="00CC56B7">
              <w:t>52.215-23</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Limitation on Excessive Pass-Through Charges</w:t>
            </w:r>
          </w:p>
          <w:p w:rsidR="00B1289A" w:rsidRPr="00CC56B7" w:rsidRDefault="00B1289A" w:rsidP="00DA2CAB">
            <w:pPr>
              <w:spacing w:after="0" w:line="240" w:lineRule="auto"/>
              <w:rPr>
                <w:i/>
              </w:rPr>
            </w:pPr>
            <w:r w:rsidRPr="00CC56B7">
              <w:t>(</w:t>
            </w:r>
            <w:r w:rsidRPr="00CC56B7">
              <w:rPr>
                <w:i/>
              </w:rPr>
              <w:t>applies to Orders over the TINA threshold)</w:t>
            </w:r>
            <w:r>
              <w:rPr>
                <w:i/>
              </w:rPr>
              <w:t xml:space="preserve"> (ALT I)</w:t>
            </w:r>
          </w:p>
        </w:tc>
        <w:tc>
          <w:tcPr>
            <w:tcW w:w="1260" w:type="dxa"/>
            <w:tcBorders>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(Oct 2009)</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52.219-8</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rPr>
            </w:pPr>
            <w:r w:rsidRPr="00CC56B7">
              <w:t xml:space="preserve">Utilization of Small Business Concerns </w:t>
            </w:r>
          </w:p>
          <w:p w:rsidR="00B1289A" w:rsidRPr="00CC56B7" w:rsidRDefault="00B1289A" w:rsidP="00DA2CAB">
            <w:pPr>
              <w:spacing w:after="0" w:line="240" w:lineRule="auto"/>
            </w:pPr>
            <w:r w:rsidRPr="00CC56B7">
              <w:rPr>
                <w:i/>
              </w:rPr>
              <w:t>(applies to Orders over the SAT threshold except for  personal services or performed entirely outside United States)</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Jan 2011</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52.219-9</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i/>
              </w:rPr>
            </w:pPr>
            <w:r w:rsidRPr="00CC56B7">
              <w:t>Small Business Subcontracting Plan with Alt II (Oct 2001)</w:t>
            </w:r>
            <w:r w:rsidRPr="00CC56B7">
              <w:rPr>
                <w:i/>
              </w:rPr>
              <w:t xml:space="preserve"> </w:t>
            </w:r>
          </w:p>
          <w:p w:rsidR="00B1289A" w:rsidRPr="00CC56B7" w:rsidRDefault="00B1289A" w:rsidP="00DA2CAB">
            <w:pPr>
              <w:spacing w:after="0" w:line="240" w:lineRule="auto"/>
            </w:pPr>
            <w:r w:rsidRPr="00CC56B7">
              <w:rPr>
                <w:i/>
              </w:rPr>
              <w:t>(applies to Orders over $650,000 except commercial items and small businesses)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Jan 2011</w:t>
            </w:r>
            <w:r w:rsidRPr="00CC56B7">
              <w:t>)</w:t>
            </w:r>
          </w:p>
        </w:tc>
      </w:tr>
      <w:tr w:rsidR="00B1289A" w:rsidRPr="00CC56B7" w:rsidTr="00B1289A">
        <w:tc>
          <w:tcPr>
            <w:tcW w:w="162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52.222-1</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Notice to the Government of Labor Disputes</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(Feb 1997)</w:t>
            </w:r>
          </w:p>
        </w:tc>
      </w:tr>
      <w:tr w:rsidR="00255C7C" w:rsidRPr="00CC56B7" w:rsidTr="00B1289A">
        <w:tc>
          <w:tcPr>
            <w:tcW w:w="1620" w:type="dxa"/>
            <w:tcBorders>
              <w:top w:val="single" w:sz="4" w:space="0" w:color="auto"/>
              <w:left w:val="single" w:sz="4" w:space="0" w:color="auto"/>
              <w:bottom w:val="single" w:sz="4" w:space="0" w:color="auto"/>
            </w:tcBorders>
          </w:tcPr>
          <w:p w:rsidR="00255C7C" w:rsidRPr="00CC56B7" w:rsidRDefault="00255C7C" w:rsidP="00DA2CAB">
            <w:pPr>
              <w:spacing w:after="0" w:line="240" w:lineRule="auto"/>
            </w:pPr>
            <w:r>
              <w:t>52.222-4</w:t>
            </w:r>
            <w:r w:rsidR="000F265F">
              <w:t>*</w:t>
            </w:r>
          </w:p>
        </w:tc>
        <w:tc>
          <w:tcPr>
            <w:tcW w:w="7290" w:type="dxa"/>
            <w:tcBorders>
              <w:top w:val="single" w:sz="4" w:space="0" w:color="auto"/>
              <w:left w:val="single" w:sz="6" w:space="0" w:color="auto"/>
              <w:bottom w:val="single" w:sz="4" w:space="0" w:color="auto"/>
            </w:tcBorders>
          </w:tcPr>
          <w:p w:rsidR="00255C7C" w:rsidRPr="00CC56B7" w:rsidRDefault="00255C7C" w:rsidP="00DA2CAB">
            <w:pPr>
              <w:spacing w:after="0" w:line="240" w:lineRule="auto"/>
            </w:pPr>
            <w:r>
              <w:t>Contract Work Hours and Safety Standards Act – Overtime Compensation</w:t>
            </w:r>
          </w:p>
        </w:tc>
        <w:tc>
          <w:tcPr>
            <w:tcW w:w="1260" w:type="dxa"/>
            <w:tcBorders>
              <w:top w:val="single" w:sz="4" w:space="0" w:color="auto"/>
              <w:left w:val="single" w:sz="6" w:space="0" w:color="auto"/>
              <w:bottom w:val="single" w:sz="4" w:space="0" w:color="auto"/>
              <w:right w:val="single" w:sz="4" w:space="0" w:color="auto"/>
            </w:tcBorders>
          </w:tcPr>
          <w:p w:rsidR="00255C7C" w:rsidRPr="00CC56B7" w:rsidRDefault="00255C7C" w:rsidP="00DA2CAB">
            <w:pPr>
              <w:spacing w:after="0" w:line="240" w:lineRule="auto"/>
              <w:jc w:val="center"/>
            </w:pPr>
            <w:r>
              <w:t>(Jul 2005)</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52.222-19</w:t>
            </w:r>
          </w:p>
        </w:tc>
        <w:tc>
          <w:tcPr>
            <w:tcW w:w="7290" w:type="dxa"/>
            <w:tcBorders>
              <w:top w:val="single" w:sz="4" w:space="0" w:color="auto"/>
              <w:left w:val="single" w:sz="6" w:space="0" w:color="auto"/>
              <w:bottom w:val="single" w:sz="4" w:space="0" w:color="auto"/>
            </w:tcBorders>
          </w:tcPr>
          <w:p w:rsidR="00D16C83" w:rsidRDefault="00B1289A" w:rsidP="00DA2CAB">
            <w:pPr>
              <w:spacing w:after="0" w:line="240" w:lineRule="auto"/>
            </w:pPr>
            <w:r w:rsidRPr="00CC56B7">
              <w:t xml:space="preserve">Child Labor - Cooperation with Authorities and Remedies </w:t>
            </w:r>
          </w:p>
          <w:p w:rsidR="00B1289A" w:rsidRPr="003F37D2" w:rsidRDefault="00B1289A" w:rsidP="00DA2CAB">
            <w:pPr>
              <w:spacing w:after="0" w:line="240" w:lineRule="auto"/>
            </w:pPr>
            <w:r>
              <w:t>(</w:t>
            </w:r>
            <w:r>
              <w:rPr>
                <w:i/>
              </w:rPr>
              <w:t>except paragraph (a)</w:t>
            </w:r>
            <w:r>
              <w:t>)</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Mar 2012</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52.222-20</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Walsh-Healey Public Contracts Act </w:t>
            </w:r>
          </w:p>
          <w:p w:rsidR="00B1289A" w:rsidRPr="00CC56B7" w:rsidRDefault="00B1289A" w:rsidP="00DA2CAB">
            <w:pPr>
              <w:spacing w:after="0" w:line="240" w:lineRule="auto"/>
            </w:pPr>
            <w:r w:rsidRPr="00CC56B7">
              <w:t>(</w:t>
            </w:r>
            <w:r w:rsidRPr="00CC56B7">
              <w:rPr>
                <w:i/>
              </w:rPr>
              <w:t>applies to Orders over $15,000)</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left w:val="single" w:sz="6" w:space="0" w:color="auto"/>
            </w:tcBorders>
          </w:tcPr>
          <w:p w:rsidR="00B1289A" w:rsidRPr="00CC56B7" w:rsidRDefault="00B1289A" w:rsidP="00DA2CAB">
            <w:pPr>
              <w:spacing w:after="0" w:line="240" w:lineRule="auto"/>
            </w:pPr>
            <w:r w:rsidRPr="00CC56B7">
              <w:t>52.222-21</w:t>
            </w:r>
            <w:r w:rsidR="000F265F">
              <w:t>*</w:t>
            </w:r>
          </w:p>
        </w:tc>
        <w:tc>
          <w:tcPr>
            <w:tcW w:w="7290" w:type="dxa"/>
            <w:tcBorders>
              <w:left w:val="single" w:sz="6" w:space="0" w:color="auto"/>
            </w:tcBorders>
          </w:tcPr>
          <w:p w:rsidR="00B1289A" w:rsidRPr="00CC56B7" w:rsidRDefault="00B1289A" w:rsidP="00DA2CAB">
            <w:pPr>
              <w:spacing w:after="0" w:line="240" w:lineRule="auto"/>
              <w:rPr>
                <w:caps/>
              </w:rPr>
            </w:pPr>
            <w:r w:rsidRPr="00CC56B7">
              <w:t>Prohibition on Segregated Facilities</w:t>
            </w:r>
          </w:p>
        </w:tc>
        <w:tc>
          <w:tcPr>
            <w:tcW w:w="1260" w:type="dxa"/>
            <w:tcBorders>
              <w:left w:val="single" w:sz="6" w:space="0" w:color="auto"/>
              <w:right w:val="single" w:sz="6" w:space="0" w:color="auto"/>
            </w:tcBorders>
          </w:tcPr>
          <w:p w:rsidR="00B1289A" w:rsidRPr="00CC56B7" w:rsidRDefault="00B1289A" w:rsidP="00DA2CAB">
            <w:pPr>
              <w:spacing w:after="0" w:line="240" w:lineRule="auto"/>
              <w:jc w:val="center"/>
              <w:rPr>
                <w:caps/>
              </w:rPr>
            </w:pPr>
            <w:r w:rsidRPr="00CC56B7">
              <w:t>(Feb 1999)</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52.222-26</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Equal Opportunity</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(Mar 2007)</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52.222-35</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caps/>
              </w:rPr>
            </w:pPr>
            <w:r w:rsidRPr="00CC56B7">
              <w:t>Equal Opportunity for Veterans</w:t>
            </w:r>
          </w:p>
          <w:p w:rsidR="00B1289A" w:rsidRPr="00CC56B7" w:rsidRDefault="00B1289A" w:rsidP="00DA2CAB">
            <w:pPr>
              <w:spacing w:after="0" w:line="240" w:lineRule="auto"/>
              <w:rPr>
                <w:i/>
                <w:caps/>
              </w:rPr>
            </w:pPr>
            <w:r w:rsidRPr="00CC56B7">
              <w:rPr>
                <w:i/>
              </w:rPr>
              <w:t>(applies to Orders of $100,000 or more)</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rPr>
                <w:caps/>
              </w:rPr>
            </w:pPr>
            <w:r w:rsidRPr="00CC56B7">
              <w:t>(</w:t>
            </w:r>
            <w:r>
              <w:t>Sep 2010</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rPr>
                <w:caps/>
              </w:rPr>
            </w:pPr>
            <w:r w:rsidRPr="00CC56B7">
              <w:t>52.222-36</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rPr>
                <w:caps/>
              </w:rPr>
            </w:pPr>
            <w:r w:rsidRPr="00CC56B7">
              <w:t xml:space="preserve">Affirmative Action for Workers with Disabilities   </w:t>
            </w:r>
          </w:p>
          <w:p w:rsidR="00B1289A" w:rsidRPr="00CC56B7" w:rsidRDefault="00B1289A" w:rsidP="00DA2CAB">
            <w:pPr>
              <w:spacing w:after="0" w:line="240" w:lineRule="auto"/>
              <w:rPr>
                <w:i/>
                <w:caps/>
              </w:rPr>
            </w:pPr>
            <w:r w:rsidRPr="00CC56B7">
              <w:rPr>
                <w:i/>
              </w:rPr>
              <w:t>(applies to Orders over $15,000)</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w:t>
            </w:r>
            <w:r>
              <w:t>Oct 2010</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52.222-37</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Employment Reports on Veterans   </w:t>
            </w:r>
          </w:p>
          <w:p w:rsidR="00B1289A" w:rsidRPr="00CC56B7" w:rsidRDefault="00B1289A" w:rsidP="00DA2CAB">
            <w:pPr>
              <w:spacing w:after="0" w:line="240" w:lineRule="auto"/>
              <w:rPr>
                <w:i/>
                <w:caps/>
              </w:rPr>
            </w:pPr>
            <w:r w:rsidRPr="00CC56B7">
              <w:rPr>
                <w:i/>
              </w:rPr>
              <w:t>(applies to Orders of $100,000 or more).</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(Sep 20</w:t>
            </w:r>
            <w:r>
              <w:t>10</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t>52.222-40</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t>Notification of Employee Rights Under the National Labor Relations Act</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t>(Dec 2010)</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52.222-50</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Combating Trafficking in Persons</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rPr>
                <w:caps/>
              </w:rPr>
            </w:pPr>
            <w:r w:rsidRPr="00CC56B7">
              <w:t>(Feb 2009)</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52.222-54</w:t>
            </w:r>
            <w:r w:rsidR="000F265F">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Employment Eligibility Verification</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rPr>
                <w:caps/>
              </w:rPr>
            </w:pPr>
            <w:r w:rsidRPr="00CC56B7">
              <w:t>(</w:t>
            </w:r>
            <w:r w:rsidR="00F0443D">
              <w:t>Jan 2009</w:t>
            </w:r>
            <w:r>
              <w:t>)</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rPr>
                <w:caps/>
              </w:rPr>
            </w:pPr>
            <w:r w:rsidRPr="002C0CA8">
              <w:t>52.223-3</w:t>
            </w:r>
          </w:p>
        </w:tc>
        <w:tc>
          <w:tcPr>
            <w:tcW w:w="7290" w:type="dxa"/>
            <w:tcBorders>
              <w:top w:val="single" w:sz="6" w:space="0" w:color="auto"/>
              <w:left w:val="single" w:sz="6" w:space="0" w:color="auto"/>
            </w:tcBorders>
          </w:tcPr>
          <w:p w:rsidR="00B1289A" w:rsidRPr="00CC56B7" w:rsidRDefault="00B1289A" w:rsidP="00DA2CAB">
            <w:pPr>
              <w:spacing w:after="0" w:line="240" w:lineRule="auto"/>
              <w:rPr>
                <w:caps/>
              </w:rPr>
            </w:pPr>
            <w:r w:rsidRPr="00CC56B7">
              <w:t>Hazardous Material Identification and Material Safety Data</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rPr>
                <w:caps/>
              </w:rPr>
            </w:pPr>
            <w:r w:rsidRPr="00CC56B7">
              <w:t>(Jan 1997)</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rPr>
                <w:caps/>
              </w:rPr>
            </w:pPr>
            <w:r w:rsidRPr="00CC56B7">
              <w:t>52.223-11</w:t>
            </w:r>
          </w:p>
        </w:tc>
        <w:tc>
          <w:tcPr>
            <w:tcW w:w="7290" w:type="dxa"/>
            <w:tcBorders>
              <w:top w:val="single" w:sz="6" w:space="0" w:color="auto"/>
              <w:left w:val="single" w:sz="6" w:space="0" w:color="auto"/>
            </w:tcBorders>
          </w:tcPr>
          <w:p w:rsidR="00B1289A" w:rsidRPr="00CC56B7" w:rsidRDefault="00B1289A" w:rsidP="00DA2CAB">
            <w:pPr>
              <w:spacing w:after="0" w:line="240" w:lineRule="auto"/>
              <w:rPr>
                <w:caps/>
              </w:rPr>
            </w:pPr>
            <w:r w:rsidRPr="00CC56B7">
              <w:t>Ozone-Depleting Substances</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rPr>
                <w:caps/>
              </w:rPr>
            </w:pPr>
            <w:r w:rsidRPr="00CC56B7">
              <w:t>(May 2001)</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52.223-1</w:t>
            </w:r>
            <w:r>
              <w:t>2</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t>Refrigeration Equipment and Air Conditioners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w:t>
            </w:r>
            <w:r>
              <w:t>May 1995</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t>52.223-18</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E243F">
              <w:t>Encouraging Contractor Policies to Ban Text Messaging While Driving</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pPr>
            <w:r>
              <w:t>(Aug 2011)</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52.225-13</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Restrictions on Certain Foreign Purchases </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(Jun 2008)</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52.227-1</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Authorization and Consent</w:t>
            </w:r>
          </w:p>
          <w:p w:rsidR="00B1289A" w:rsidRPr="00CC56B7" w:rsidRDefault="00B1289A" w:rsidP="00DA2CAB">
            <w:pPr>
              <w:spacing w:after="0" w:line="240" w:lineRule="auto"/>
              <w:rPr>
                <w:i/>
                <w:caps/>
              </w:rPr>
            </w:pPr>
            <w:r w:rsidRPr="00CC56B7">
              <w:t>(</w:t>
            </w:r>
            <w:r w:rsidRPr="00CC56B7">
              <w:rPr>
                <w:i/>
              </w:rPr>
              <w:t>applies to Orders over SAT; Alt I applies to Research and Development Orders; Alt II applies to communication services)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52.227-2</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i/>
                <w:caps/>
              </w:rPr>
            </w:pPr>
            <w:r w:rsidRPr="00CC56B7">
              <w:t xml:space="preserve">Notice and Assistance Regarding Patent and Copyright Infringement  </w:t>
            </w:r>
          </w:p>
          <w:p w:rsidR="00B1289A" w:rsidRPr="00CC56B7" w:rsidRDefault="00B1289A" w:rsidP="00DA2CAB">
            <w:pPr>
              <w:spacing w:after="0" w:line="240" w:lineRule="auto"/>
              <w:rPr>
                <w:i/>
                <w:caps/>
              </w:rPr>
            </w:pPr>
            <w:r w:rsidRPr="00CC56B7">
              <w:rPr>
                <w:i/>
              </w:rPr>
              <w:t xml:space="preserve">(applies to Orders over the SAT threshold) </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52.227-10</w:t>
            </w:r>
            <w:r w:rsidR="000F265F">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Filing of Patent Applications - Classified Subject Matter  </w:t>
            </w:r>
          </w:p>
          <w:p w:rsidR="00B1289A" w:rsidRPr="00CC56B7" w:rsidRDefault="00B1289A" w:rsidP="00DA2CAB">
            <w:pPr>
              <w:spacing w:after="0" w:line="240" w:lineRule="auto"/>
              <w:rPr>
                <w:i/>
                <w:caps/>
              </w:rPr>
            </w:pPr>
            <w:r w:rsidRPr="00CC56B7">
              <w:rPr>
                <w:i/>
              </w:rPr>
              <w:t>( applies to Orders that cover classified subject matters)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rPr>
                <w:caps/>
              </w:rPr>
            </w:pPr>
            <w:r w:rsidRPr="00CC56B7">
              <w:t>52.230-2</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rPr>
                <w:caps/>
              </w:rPr>
            </w:pPr>
            <w:r w:rsidRPr="00CC56B7">
              <w:t xml:space="preserve">Cost Accounting Standards (CAS) </w:t>
            </w:r>
            <w:r>
              <w:t>(Deviation)</w:t>
            </w:r>
          </w:p>
          <w:p w:rsidR="00B1289A" w:rsidRPr="00CC56B7" w:rsidRDefault="00B1289A" w:rsidP="00DA2CAB">
            <w:pPr>
              <w:spacing w:after="0" w:line="240" w:lineRule="auto"/>
              <w:rPr>
                <w:i/>
                <w:caps/>
              </w:rPr>
            </w:pPr>
            <w:r w:rsidRPr="00CC56B7">
              <w:rPr>
                <w:i/>
              </w:rPr>
              <w:t>(applies to negotiated Orders over $</w:t>
            </w:r>
            <w:r>
              <w:rPr>
                <w:i/>
              </w:rPr>
              <w:t>70</w:t>
            </w:r>
            <w:r w:rsidRPr="00CC56B7">
              <w:rPr>
                <w:i/>
              </w:rPr>
              <w:t>0,000 with CAS covered Sellers, except paragraph “(b)”)</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w:t>
            </w:r>
            <w:r w:rsidR="00F0443D">
              <w:t>Jan</w:t>
            </w:r>
            <w:r>
              <w:t xml:space="preserve"> 2012</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keepNext/>
              <w:keepLines/>
              <w:spacing w:after="0" w:line="240" w:lineRule="auto"/>
              <w:rPr>
                <w:caps/>
              </w:rPr>
            </w:pPr>
            <w:r w:rsidRPr="00CC56B7">
              <w:t>52.230-6</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keepNext/>
              <w:keepLines/>
              <w:spacing w:after="0" w:line="240" w:lineRule="auto"/>
              <w:rPr>
                <w:caps/>
              </w:rPr>
            </w:pPr>
            <w:r w:rsidRPr="00CC56B7">
              <w:t xml:space="preserve">Administration of Cost Accounting Standards </w:t>
            </w:r>
          </w:p>
          <w:p w:rsidR="00B1289A" w:rsidRPr="00CC56B7" w:rsidRDefault="00B1289A" w:rsidP="00DA2CAB">
            <w:pPr>
              <w:keepNext/>
              <w:keepLines/>
              <w:spacing w:after="0" w:line="240" w:lineRule="auto"/>
              <w:rPr>
                <w:i/>
                <w:caps/>
              </w:rPr>
            </w:pPr>
            <w:r w:rsidRPr="00CC56B7">
              <w:rPr>
                <w:i/>
              </w:rPr>
              <w:t>(applies to Orders over $650,000 with CAS covered sellers)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keepNext/>
              <w:keepLines/>
              <w:spacing w:after="0" w:line="240" w:lineRule="auto"/>
              <w:jc w:val="center"/>
              <w:rPr>
                <w:caps/>
              </w:rPr>
            </w:pPr>
            <w:r w:rsidRPr="00CC56B7">
              <w:t>(</w:t>
            </w:r>
            <w:r>
              <w:t>Jun 2010</w:t>
            </w:r>
            <w:r w:rsidRPr="00CC56B7">
              <w:t>)</w:t>
            </w:r>
          </w:p>
          <w:p w:rsidR="00B1289A" w:rsidRPr="00CC56B7" w:rsidRDefault="00B1289A" w:rsidP="00DA2CAB">
            <w:pPr>
              <w:keepNext/>
              <w:keepLines/>
              <w:spacing w:after="0" w:line="240" w:lineRule="auto"/>
              <w:jc w:val="center"/>
            </w:pP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t>52.</w:t>
            </w:r>
            <w:r w:rsidRPr="00CC56B7">
              <w:t>232-17</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Interest</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(Oct 20</w:t>
            </w:r>
            <w:r>
              <w:t>10</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AE6BC8">
              <w:t>52.234-1</w:t>
            </w:r>
            <w:r w:rsidR="000F265F">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Industrial Resources Developed Under Defense Production Act Title III</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(Dec 1994)</w:t>
            </w:r>
          </w:p>
        </w:tc>
      </w:tr>
      <w:tr w:rsidR="00B1289A" w:rsidRPr="0079384D" w:rsidTr="00B1289A">
        <w:trPr>
          <w:trHeight w:val="135"/>
        </w:trPr>
        <w:tc>
          <w:tcPr>
            <w:tcW w:w="1620" w:type="dxa"/>
            <w:tcBorders>
              <w:top w:val="single" w:sz="6" w:space="0" w:color="auto"/>
              <w:left w:val="single" w:sz="6" w:space="0" w:color="auto"/>
              <w:bottom w:val="single" w:sz="4" w:space="0" w:color="auto"/>
            </w:tcBorders>
          </w:tcPr>
          <w:p w:rsidR="00B1289A" w:rsidRPr="0079384D" w:rsidRDefault="00B1289A" w:rsidP="00DA2CAB">
            <w:pPr>
              <w:spacing w:after="0" w:line="240" w:lineRule="auto"/>
            </w:pPr>
            <w:r w:rsidRPr="0079384D">
              <w:t>52.242-13</w:t>
            </w:r>
          </w:p>
        </w:tc>
        <w:tc>
          <w:tcPr>
            <w:tcW w:w="7290" w:type="dxa"/>
            <w:tcBorders>
              <w:top w:val="single" w:sz="6" w:space="0" w:color="auto"/>
              <w:left w:val="single" w:sz="6" w:space="0" w:color="auto"/>
              <w:bottom w:val="single" w:sz="4" w:space="0" w:color="auto"/>
            </w:tcBorders>
          </w:tcPr>
          <w:p w:rsidR="00B1289A" w:rsidRPr="0079384D" w:rsidRDefault="00B1289A" w:rsidP="00DA2CAB">
            <w:pPr>
              <w:spacing w:after="0" w:line="240" w:lineRule="auto"/>
            </w:pPr>
            <w:r w:rsidRPr="0079384D">
              <w:t>Bankruptcy</w:t>
            </w:r>
          </w:p>
        </w:tc>
        <w:tc>
          <w:tcPr>
            <w:tcW w:w="1260" w:type="dxa"/>
            <w:tcBorders>
              <w:top w:val="single" w:sz="6" w:space="0" w:color="auto"/>
              <w:left w:val="single" w:sz="6" w:space="0" w:color="auto"/>
              <w:bottom w:val="single" w:sz="4" w:space="0" w:color="auto"/>
              <w:right w:val="single" w:sz="6" w:space="0" w:color="auto"/>
            </w:tcBorders>
          </w:tcPr>
          <w:p w:rsidR="00B1289A" w:rsidRPr="0079384D" w:rsidRDefault="00B1289A" w:rsidP="00DA2CAB">
            <w:pPr>
              <w:spacing w:after="0" w:line="240" w:lineRule="auto"/>
              <w:jc w:val="center"/>
            </w:pPr>
            <w:r>
              <w:t>(Jul 1995)</w:t>
            </w:r>
          </w:p>
        </w:tc>
      </w:tr>
      <w:tr w:rsidR="00B1289A" w:rsidRPr="00CC56B7" w:rsidTr="00B1289A">
        <w:trPr>
          <w:trHeight w:val="135"/>
        </w:trPr>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52.244-6</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rPr>
                <w:i/>
              </w:rPr>
            </w:pPr>
            <w:r w:rsidRPr="00CC56B7">
              <w:t xml:space="preserve">Subcontracts for Commercial Items </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rPr>
                <w:caps/>
              </w:rPr>
            </w:pPr>
            <w:r w:rsidRPr="00CC56B7">
              <w:t>(</w:t>
            </w:r>
            <w:r>
              <w:t xml:space="preserve">Dec </w:t>
            </w:r>
            <w:r w:rsidRPr="00CC56B7">
              <w:t>2010)</w:t>
            </w:r>
          </w:p>
        </w:tc>
      </w:tr>
      <w:tr w:rsidR="00B1289A" w:rsidRPr="003F37D2" w:rsidTr="00B1289A">
        <w:tc>
          <w:tcPr>
            <w:tcW w:w="1620" w:type="dxa"/>
            <w:tcBorders>
              <w:left w:val="single" w:sz="4" w:space="0" w:color="auto"/>
              <w:bottom w:val="single" w:sz="4" w:space="0" w:color="auto"/>
              <w:right w:val="single" w:sz="4" w:space="0" w:color="auto"/>
            </w:tcBorders>
          </w:tcPr>
          <w:p w:rsidR="00B1289A" w:rsidRPr="00BC4BEE" w:rsidRDefault="00B1289A" w:rsidP="00DA2CAB">
            <w:pPr>
              <w:spacing w:after="0" w:line="240" w:lineRule="auto"/>
            </w:pPr>
            <w:r w:rsidRPr="00BC4BEE">
              <w:t>52.245-1</w:t>
            </w:r>
          </w:p>
        </w:tc>
        <w:tc>
          <w:tcPr>
            <w:tcW w:w="7290" w:type="dxa"/>
            <w:tcBorders>
              <w:left w:val="single" w:sz="4" w:space="0" w:color="auto"/>
              <w:bottom w:val="single" w:sz="4" w:space="0" w:color="auto"/>
              <w:right w:val="single" w:sz="4" w:space="0" w:color="auto"/>
            </w:tcBorders>
          </w:tcPr>
          <w:p w:rsidR="00D16C83" w:rsidRDefault="00B1289A" w:rsidP="00DA2CAB">
            <w:pPr>
              <w:spacing w:after="0" w:line="240" w:lineRule="auto"/>
            </w:pPr>
            <w:r w:rsidRPr="00BC4BEE">
              <w:t xml:space="preserve">Government Property &amp; Alt I (Apr 2012) </w:t>
            </w:r>
          </w:p>
          <w:p w:rsidR="00B1289A" w:rsidRPr="00BC4BEE" w:rsidRDefault="00B1289A" w:rsidP="00DA2CAB">
            <w:pPr>
              <w:spacing w:after="0" w:line="240" w:lineRule="auto"/>
            </w:pPr>
            <w:r w:rsidRPr="00BC4BEE">
              <w:t>(</w:t>
            </w:r>
            <w:r w:rsidRPr="00043145">
              <w:rPr>
                <w:i/>
              </w:rPr>
              <w:t>excluding any warranty of suitability</w:t>
            </w:r>
            <w:r>
              <w:rPr>
                <w:i/>
              </w:rPr>
              <w:t>/</w:t>
            </w:r>
            <w:r w:rsidRPr="00043145">
              <w:rPr>
                <w:i/>
              </w:rPr>
              <w:t>serviceability</w:t>
            </w:r>
            <w:r>
              <w:rPr>
                <w:i/>
              </w:rPr>
              <w:t xml:space="preserve"> contained</w:t>
            </w:r>
            <w:r w:rsidRPr="00043145">
              <w:rPr>
                <w:i/>
              </w:rPr>
              <w:t xml:space="preserve"> in para. (d)(2)</w:t>
            </w:r>
            <w:r>
              <w:rPr>
                <w:i/>
              </w:rPr>
              <w:t xml:space="preserve"> and (d)(2)</w:t>
            </w:r>
            <w:r w:rsidRPr="00043145">
              <w:rPr>
                <w:i/>
              </w:rPr>
              <w:t>(</w:t>
            </w:r>
            <w:r>
              <w:rPr>
                <w:i/>
              </w:rPr>
              <w:t>i</w:t>
            </w:r>
            <w:r w:rsidRPr="00043145">
              <w:rPr>
                <w:i/>
              </w:rPr>
              <w:t>ii</w:t>
            </w:r>
            <w:r w:rsidRPr="00BC4BEE">
              <w:rPr>
                <w:i/>
              </w:rPr>
              <w:t>)</w:t>
            </w:r>
            <w:r w:rsidRPr="00BC4BEE">
              <w:t>)</w:t>
            </w:r>
          </w:p>
        </w:tc>
        <w:tc>
          <w:tcPr>
            <w:tcW w:w="1260" w:type="dxa"/>
            <w:tcBorders>
              <w:left w:val="single" w:sz="4" w:space="0" w:color="auto"/>
              <w:bottom w:val="single" w:sz="4" w:space="0" w:color="auto"/>
              <w:right w:val="single" w:sz="4" w:space="0" w:color="auto"/>
            </w:tcBorders>
          </w:tcPr>
          <w:p w:rsidR="00B1289A" w:rsidRPr="003F37D2" w:rsidRDefault="00B1289A" w:rsidP="00DA2CAB">
            <w:pPr>
              <w:spacing w:after="0" w:line="240" w:lineRule="auto"/>
            </w:pPr>
            <w:r w:rsidRPr="00BC4BEE">
              <w:t>(Apr 2012)</w:t>
            </w:r>
          </w:p>
        </w:tc>
      </w:tr>
      <w:tr w:rsidR="00BA1A78" w:rsidRPr="00CC56B7" w:rsidTr="00B1289A">
        <w:tc>
          <w:tcPr>
            <w:tcW w:w="162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52.247-63</w:t>
            </w:r>
            <w:r w:rsidR="000F265F">
              <w:t>*</w:t>
            </w:r>
          </w:p>
        </w:tc>
        <w:tc>
          <w:tcPr>
            <w:tcW w:w="729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Preference for U.S. Flag Air Carriers</w:t>
            </w:r>
          </w:p>
        </w:tc>
        <w:tc>
          <w:tcPr>
            <w:tcW w:w="126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jc w:val="center"/>
            </w:pPr>
            <w:r>
              <w:t>(Jun 2003)</w:t>
            </w:r>
          </w:p>
        </w:tc>
      </w:tr>
      <w:tr w:rsidR="00BA1A78" w:rsidRPr="00CC56B7" w:rsidTr="00B1289A">
        <w:tc>
          <w:tcPr>
            <w:tcW w:w="162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52.247-64</w:t>
            </w:r>
          </w:p>
        </w:tc>
        <w:tc>
          <w:tcPr>
            <w:tcW w:w="729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Preference for Privately Owned U.S. – Flag Commercial Vessels</w:t>
            </w:r>
          </w:p>
        </w:tc>
        <w:tc>
          <w:tcPr>
            <w:tcW w:w="126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jc w:val="center"/>
            </w:pPr>
            <w:r>
              <w:t>(Feb 2006)</w:t>
            </w:r>
          </w:p>
        </w:tc>
      </w:tr>
      <w:tr w:rsidR="00B1289A" w:rsidRPr="00CC56B7" w:rsidTr="00F968D4">
        <w:tc>
          <w:tcPr>
            <w:tcW w:w="1620" w:type="dxa"/>
            <w:tcBorders>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52.248-1</w:t>
            </w:r>
            <w:r w:rsidR="000F265F">
              <w:t>*</w:t>
            </w:r>
          </w:p>
        </w:tc>
        <w:tc>
          <w:tcPr>
            <w:tcW w:w="7290" w:type="dxa"/>
            <w:tcBorders>
              <w:left w:val="single" w:sz="4" w:space="0" w:color="auto"/>
              <w:bottom w:val="single" w:sz="4" w:space="0" w:color="auto"/>
              <w:right w:val="single" w:sz="4" w:space="0" w:color="auto"/>
            </w:tcBorders>
          </w:tcPr>
          <w:p w:rsidR="00B1289A" w:rsidRPr="00CC56B7" w:rsidRDefault="00B1289A" w:rsidP="00DA2CAB">
            <w:pPr>
              <w:spacing w:after="0" w:line="240" w:lineRule="auto"/>
              <w:rPr>
                <w:i/>
                <w:caps/>
              </w:rPr>
            </w:pPr>
            <w:r w:rsidRPr="00CC56B7">
              <w:t xml:space="preserve">Value Engineering </w:t>
            </w:r>
          </w:p>
          <w:p w:rsidR="00B1289A" w:rsidRPr="00CC56B7" w:rsidRDefault="00B1289A" w:rsidP="00DA2CAB">
            <w:pPr>
              <w:pStyle w:val="2x2note"/>
              <w:widowControl/>
              <w:tabs>
                <w:tab w:val="left" w:pos="7450"/>
              </w:tabs>
              <w:spacing w:before="0" w:after="0" w:line="240" w:lineRule="auto"/>
              <w:rPr>
                <w:rFonts w:asciiTheme="minorHAnsi" w:hAnsiTheme="minorHAnsi"/>
                <w:i/>
                <w:caps/>
                <w:szCs w:val="22"/>
              </w:rPr>
            </w:pPr>
            <w:r w:rsidRPr="00CC56B7">
              <w:rPr>
                <w:rFonts w:asciiTheme="minorHAnsi" w:hAnsiTheme="minorHAnsi"/>
                <w:i/>
                <w:szCs w:val="22"/>
              </w:rPr>
              <w:t>(applies to Orders of $150,000 or more except as specified in FAR 48.201(a))</w:t>
            </w:r>
          </w:p>
          <w:p w:rsidR="00B1289A" w:rsidRPr="00CC56B7" w:rsidRDefault="00B1289A" w:rsidP="00DA2CAB">
            <w:pPr>
              <w:spacing w:after="0" w:line="240" w:lineRule="auto"/>
              <w:rPr>
                <w:caps/>
              </w:rPr>
            </w:pPr>
            <w:r w:rsidRPr="00CC56B7">
              <w:rPr>
                <w:i/>
              </w:rPr>
              <w:t>(substitute “Buyer” for “Contracting Officer” and “Government” throughout, except where used in the term “Government costs” and in paragraph (m) where “Govern</w:t>
            </w:r>
            <w:r w:rsidRPr="00CC56B7">
              <w:rPr>
                <w:i/>
              </w:rPr>
              <w:softHyphen/>
              <w:t>ment” shall mean “Government and/or Buyer.”</w:t>
            </w:r>
            <w:r w:rsidRPr="00CC56B7">
              <w:t xml:space="preserve"> )</w:t>
            </w:r>
          </w:p>
        </w:tc>
        <w:tc>
          <w:tcPr>
            <w:tcW w:w="1260" w:type="dxa"/>
            <w:tcBorders>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(Oct 2010)</w:t>
            </w:r>
          </w:p>
        </w:tc>
      </w:tr>
      <w:tr w:rsidR="00EB242E" w:rsidRPr="00CC56B7" w:rsidTr="000F265F">
        <w:tc>
          <w:tcPr>
            <w:tcW w:w="1620" w:type="dxa"/>
            <w:tcBorders>
              <w:left w:val="single" w:sz="4" w:space="0" w:color="auto"/>
              <w:bottom w:val="single" w:sz="4" w:space="0" w:color="auto"/>
              <w:right w:val="single" w:sz="4" w:space="0" w:color="auto"/>
            </w:tcBorders>
          </w:tcPr>
          <w:p w:rsidR="00EB242E" w:rsidRPr="00CC56B7" w:rsidRDefault="00EB242E" w:rsidP="00DA2CAB">
            <w:pPr>
              <w:spacing w:after="0" w:line="240" w:lineRule="auto"/>
            </w:pPr>
            <w:r>
              <w:t>52.249-2</w:t>
            </w:r>
          </w:p>
        </w:tc>
        <w:tc>
          <w:tcPr>
            <w:tcW w:w="7290" w:type="dxa"/>
            <w:tcBorders>
              <w:left w:val="single" w:sz="4" w:space="0" w:color="auto"/>
              <w:bottom w:val="single" w:sz="4" w:space="0" w:color="auto"/>
              <w:right w:val="single" w:sz="4" w:space="0" w:color="auto"/>
            </w:tcBorders>
          </w:tcPr>
          <w:p w:rsidR="00EB242E" w:rsidRPr="00EB242E" w:rsidRDefault="00EB242E" w:rsidP="00EB242E">
            <w:pPr>
              <w:spacing w:after="0" w:line="240" w:lineRule="auto"/>
              <w:rPr>
                <w:i/>
              </w:rPr>
            </w:pPr>
            <w:r>
              <w:t xml:space="preserve">Termination for Convenience of the Government (Fixed-Price) </w:t>
            </w:r>
            <w:r>
              <w:br/>
              <w:t>(</w:t>
            </w:r>
            <w:r>
              <w:rPr>
                <w:i/>
              </w:rPr>
              <w:t>in paragraph (c) change from “120” to “60” and paragraph “e” change from one year to six months.</w:t>
            </w:r>
          </w:p>
        </w:tc>
        <w:tc>
          <w:tcPr>
            <w:tcW w:w="1260" w:type="dxa"/>
            <w:tcBorders>
              <w:left w:val="single" w:sz="4" w:space="0" w:color="auto"/>
              <w:bottom w:val="single" w:sz="4" w:space="0" w:color="auto"/>
              <w:right w:val="single" w:sz="4" w:space="0" w:color="auto"/>
            </w:tcBorders>
          </w:tcPr>
          <w:p w:rsidR="00EB242E" w:rsidRPr="00CC56B7" w:rsidRDefault="00EB242E" w:rsidP="00DA2CAB">
            <w:pPr>
              <w:spacing w:after="0" w:line="240" w:lineRule="auto"/>
              <w:jc w:val="center"/>
            </w:pPr>
            <w:r>
              <w:t>(May 2004)</w:t>
            </w:r>
          </w:p>
        </w:tc>
      </w:tr>
      <w:tr w:rsidR="00B1289A" w:rsidRPr="00AB2D1A" w:rsidTr="000F265F">
        <w:tc>
          <w:tcPr>
            <w:tcW w:w="1620" w:type="dxa"/>
            <w:tcBorders>
              <w:top w:val="single" w:sz="4" w:space="0" w:color="auto"/>
            </w:tcBorders>
          </w:tcPr>
          <w:p w:rsidR="00D16C83" w:rsidRPr="00D16C83" w:rsidRDefault="00D16C83" w:rsidP="00DA2CAB">
            <w:pPr>
              <w:spacing w:after="0" w:line="240" w:lineRule="auto"/>
              <w:rPr>
                <w:b/>
              </w:rPr>
            </w:pPr>
          </w:p>
        </w:tc>
        <w:tc>
          <w:tcPr>
            <w:tcW w:w="7290" w:type="dxa"/>
            <w:tcBorders>
              <w:top w:val="single" w:sz="4" w:space="0" w:color="auto"/>
            </w:tcBorders>
          </w:tcPr>
          <w:p w:rsidR="00B1289A" w:rsidRPr="00AB2D1A" w:rsidRDefault="00B1289A" w:rsidP="00DA2CAB">
            <w:pPr>
              <w:spacing w:after="0" w:line="240" w:lineRule="auto"/>
              <w:rPr>
                <w:b/>
              </w:rPr>
            </w:pPr>
          </w:p>
        </w:tc>
        <w:tc>
          <w:tcPr>
            <w:tcW w:w="1260" w:type="dxa"/>
            <w:tcBorders>
              <w:top w:val="single" w:sz="4" w:space="0" w:color="auto"/>
            </w:tcBorders>
          </w:tcPr>
          <w:p w:rsidR="00B1289A" w:rsidRPr="00AB2D1A" w:rsidRDefault="00B1289A" w:rsidP="00DA2CAB">
            <w:pPr>
              <w:spacing w:after="0" w:line="240" w:lineRule="auto"/>
              <w:jc w:val="center"/>
              <w:rPr>
                <w:b/>
              </w:rPr>
            </w:pPr>
          </w:p>
        </w:tc>
      </w:tr>
      <w:tr w:rsidR="00F968D4" w:rsidRPr="00D0316D" w:rsidTr="000F265F">
        <w:tc>
          <w:tcPr>
            <w:tcW w:w="1620" w:type="dxa"/>
            <w:tcBorders>
              <w:left w:val="single" w:sz="4" w:space="0" w:color="auto"/>
              <w:bottom w:val="single" w:sz="4" w:space="0" w:color="auto"/>
              <w:right w:val="single" w:sz="4" w:space="0" w:color="auto"/>
            </w:tcBorders>
          </w:tcPr>
          <w:p w:rsidR="00F968D4" w:rsidRPr="00AB2D1A" w:rsidRDefault="00F968D4" w:rsidP="000F265F">
            <w:pPr>
              <w:keepNext/>
              <w:spacing w:after="0" w:line="240" w:lineRule="auto"/>
              <w:rPr>
                <w:b/>
              </w:rPr>
            </w:pPr>
            <w:r w:rsidRPr="00AB2D1A">
              <w:rPr>
                <w:b/>
              </w:rPr>
              <w:t>DFARS</w:t>
            </w:r>
          </w:p>
        </w:tc>
        <w:tc>
          <w:tcPr>
            <w:tcW w:w="7290" w:type="dxa"/>
            <w:tcBorders>
              <w:left w:val="single" w:sz="4" w:space="0" w:color="auto"/>
              <w:bottom w:val="single" w:sz="4" w:space="0" w:color="auto"/>
              <w:right w:val="single" w:sz="4" w:space="0" w:color="auto"/>
            </w:tcBorders>
          </w:tcPr>
          <w:p w:rsidR="00F968D4" w:rsidRPr="00AB2D1A" w:rsidRDefault="00F968D4" w:rsidP="000F265F">
            <w:pPr>
              <w:keepNext/>
              <w:keepLines/>
              <w:spacing w:after="0" w:line="240" w:lineRule="auto"/>
              <w:rPr>
                <w:b/>
              </w:rPr>
            </w:pPr>
            <w:r w:rsidRPr="00AB2D1A">
              <w:rPr>
                <w:b/>
              </w:rPr>
              <w:t>Defense Federal Acquisition Regulation Supplement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252.203-7001</w:t>
            </w:r>
            <w:r w:rsidR="000F265F">
              <w:t>*</w:t>
            </w:r>
          </w:p>
        </w:tc>
        <w:tc>
          <w:tcPr>
            <w:tcW w:w="7290" w:type="dxa"/>
            <w:tcBorders>
              <w:left w:val="single" w:sz="4" w:space="0" w:color="auto"/>
              <w:bottom w:val="single" w:sz="4" w:space="0" w:color="auto"/>
              <w:right w:val="single" w:sz="4" w:space="0" w:color="auto"/>
            </w:tcBorders>
          </w:tcPr>
          <w:p w:rsidR="00A97995" w:rsidRDefault="00F968D4" w:rsidP="00DA2CAB">
            <w:pPr>
              <w:spacing w:after="0" w:line="240" w:lineRule="auto"/>
            </w:pPr>
            <w:r w:rsidRPr="00AB2D1A">
              <w:t xml:space="preserve">Prohibition on Persons Convicted of Fraud or Other Defense-Contract-Related Felonies </w:t>
            </w:r>
          </w:p>
          <w:p w:rsidR="00F968D4" w:rsidRPr="00AB2D1A" w:rsidRDefault="00F968D4" w:rsidP="00DA2CAB">
            <w:pPr>
              <w:spacing w:after="0" w:line="240" w:lineRule="auto"/>
            </w:pPr>
            <w:r w:rsidRPr="00AB2D1A">
              <w:t>(</w:t>
            </w:r>
            <w:r w:rsidRPr="00BC4BEE">
              <w:rPr>
                <w:i/>
              </w:rPr>
              <w:t>applies to Orders over the SAT threshold except 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2008)</w:t>
            </w:r>
          </w:p>
        </w:tc>
      </w:tr>
      <w:tr w:rsidR="00F968D4" w:rsidRPr="003F37D2"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252.203-7003</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Agency Office of the Inspector General</w:t>
            </w:r>
          </w:p>
        </w:tc>
        <w:tc>
          <w:tcPr>
            <w:tcW w:w="126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t>(Apr 2012</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2C0CA8">
              <w:t>252.203-7004</w:t>
            </w:r>
            <w:r w:rsidR="000F265F">
              <w:t>*</w:t>
            </w:r>
          </w:p>
        </w:tc>
        <w:tc>
          <w:tcPr>
            <w:tcW w:w="7290" w:type="dxa"/>
            <w:tcBorders>
              <w:left w:val="single" w:sz="4" w:space="0" w:color="auto"/>
              <w:bottom w:val="single" w:sz="4" w:space="0" w:color="auto"/>
              <w:right w:val="single" w:sz="4" w:space="0" w:color="auto"/>
            </w:tcBorders>
          </w:tcPr>
          <w:p w:rsidR="00F968D4" w:rsidRDefault="00F968D4" w:rsidP="00DA2CAB">
            <w:pPr>
              <w:spacing w:after="0" w:line="240" w:lineRule="auto"/>
            </w:pPr>
            <w:r>
              <w:t>Display of Fraud Hotline Posters(s)</w:t>
            </w:r>
          </w:p>
          <w:p w:rsidR="00F968D4" w:rsidRPr="00AB2D1A" w:rsidRDefault="00F968D4" w:rsidP="00DA2CAB">
            <w:pPr>
              <w:spacing w:after="0" w:line="240" w:lineRule="auto"/>
            </w:pPr>
            <w:r>
              <w:t>(</w:t>
            </w:r>
            <w:r w:rsidRPr="00BC4BEE">
              <w:rPr>
                <w:i/>
              </w:rPr>
              <w:t>applies to Orders over $5,000,000</w:t>
            </w:r>
            <w:r>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t>(Sep 2011)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252.204-7000</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Disclosure of Information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1991)</w:t>
            </w:r>
          </w:p>
        </w:tc>
      </w:tr>
      <w:tr w:rsidR="00255C7C" w:rsidRPr="00D0316D" w:rsidTr="00B1289A">
        <w:tc>
          <w:tcPr>
            <w:tcW w:w="1620" w:type="dxa"/>
            <w:tcBorders>
              <w:left w:val="single" w:sz="4" w:space="0" w:color="auto"/>
              <w:bottom w:val="single" w:sz="4" w:space="0" w:color="auto"/>
              <w:right w:val="single" w:sz="4" w:space="0" w:color="auto"/>
            </w:tcBorders>
          </w:tcPr>
          <w:p w:rsidR="00255C7C" w:rsidRPr="00AB2D1A" w:rsidRDefault="00255C7C" w:rsidP="00DA2CAB">
            <w:pPr>
              <w:spacing w:after="0" w:line="240" w:lineRule="auto"/>
            </w:pPr>
            <w:r>
              <w:t>252.204-7008</w:t>
            </w:r>
          </w:p>
        </w:tc>
        <w:tc>
          <w:tcPr>
            <w:tcW w:w="7290" w:type="dxa"/>
            <w:tcBorders>
              <w:left w:val="single" w:sz="4" w:space="0" w:color="auto"/>
              <w:bottom w:val="single" w:sz="4" w:space="0" w:color="auto"/>
              <w:right w:val="single" w:sz="4" w:space="0" w:color="auto"/>
            </w:tcBorders>
          </w:tcPr>
          <w:p w:rsidR="00255C7C" w:rsidRPr="00AB2D1A" w:rsidRDefault="00255C7C" w:rsidP="00DA2CAB">
            <w:pPr>
              <w:spacing w:after="0" w:line="240" w:lineRule="auto"/>
            </w:pPr>
            <w:r>
              <w:t>Export-Controlled Items</w:t>
            </w:r>
          </w:p>
        </w:tc>
        <w:tc>
          <w:tcPr>
            <w:tcW w:w="1260" w:type="dxa"/>
            <w:tcBorders>
              <w:left w:val="single" w:sz="4" w:space="0" w:color="auto"/>
              <w:bottom w:val="single" w:sz="4" w:space="0" w:color="auto"/>
              <w:right w:val="single" w:sz="4" w:space="0" w:color="auto"/>
            </w:tcBorders>
          </w:tcPr>
          <w:p w:rsidR="00255C7C" w:rsidRPr="00AB2D1A" w:rsidRDefault="00255C7C" w:rsidP="00DA2CAB">
            <w:pPr>
              <w:spacing w:after="0" w:line="240" w:lineRule="auto"/>
              <w:jc w:val="center"/>
            </w:pPr>
            <w:r>
              <w:t>(Apr 2010)</w:t>
            </w:r>
          </w:p>
        </w:tc>
      </w:tr>
      <w:tr w:rsidR="000F265F" w:rsidRPr="00D0316D" w:rsidTr="001F0D92">
        <w:tc>
          <w:tcPr>
            <w:tcW w:w="1620" w:type="dxa"/>
            <w:tcBorders>
              <w:left w:val="single" w:sz="4" w:space="0" w:color="auto"/>
              <w:bottom w:val="single" w:sz="4" w:space="0" w:color="auto"/>
              <w:right w:val="single" w:sz="4" w:space="0" w:color="auto"/>
            </w:tcBorders>
          </w:tcPr>
          <w:p w:rsidR="000F265F" w:rsidRDefault="000F265F" w:rsidP="001F0D92">
            <w:pPr>
              <w:spacing w:after="0" w:line="240" w:lineRule="auto"/>
            </w:pPr>
            <w:r>
              <w:t>252.204-7012*</w:t>
            </w:r>
          </w:p>
        </w:tc>
        <w:tc>
          <w:tcPr>
            <w:tcW w:w="7290" w:type="dxa"/>
            <w:tcBorders>
              <w:left w:val="single" w:sz="4" w:space="0" w:color="auto"/>
              <w:bottom w:val="single" w:sz="4" w:space="0" w:color="auto"/>
              <w:right w:val="single" w:sz="4" w:space="0" w:color="auto"/>
            </w:tcBorders>
          </w:tcPr>
          <w:p w:rsidR="000F265F" w:rsidRPr="00056979" w:rsidRDefault="000F265F" w:rsidP="001F0D92">
            <w:pPr>
              <w:spacing w:after="0" w:line="240" w:lineRule="auto"/>
              <w:rPr>
                <w:i/>
              </w:rPr>
            </w:pPr>
            <w:r w:rsidRPr="00F87692">
              <w:t>Safeguarding Covered Defense Information and Cyber Incident Reporting</w:t>
            </w:r>
          </w:p>
        </w:tc>
        <w:tc>
          <w:tcPr>
            <w:tcW w:w="1260" w:type="dxa"/>
            <w:tcBorders>
              <w:left w:val="single" w:sz="4" w:space="0" w:color="auto"/>
              <w:bottom w:val="single" w:sz="4" w:space="0" w:color="auto"/>
              <w:right w:val="single" w:sz="4" w:space="0" w:color="auto"/>
            </w:tcBorders>
          </w:tcPr>
          <w:p w:rsidR="000F265F" w:rsidRDefault="000F265F" w:rsidP="001F0D92">
            <w:pPr>
              <w:spacing w:after="0" w:line="240" w:lineRule="auto"/>
              <w:jc w:val="center"/>
            </w:pPr>
            <w:r>
              <w:t>(Dec 2019)</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252.211-7000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Acquisition Streamlining  </w:t>
            </w:r>
          </w:p>
          <w:p w:rsidR="00F968D4" w:rsidRPr="00AB2D1A" w:rsidRDefault="00F968D4" w:rsidP="00DA2CAB">
            <w:pPr>
              <w:spacing w:after="0" w:line="240" w:lineRule="auto"/>
            </w:pPr>
            <w:r w:rsidRPr="00AB2D1A">
              <w:t>(</w:t>
            </w:r>
            <w:r w:rsidRPr="00BC4BEE">
              <w:rPr>
                <w:i/>
              </w:rPr>
              <w:t>applies to Orders over $1,500,000</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Oct 2010</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2C0CA8">
              <w:t>252.211-7003</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Item Identification and Valuation </w:t>
            </w:r>
          </w:p>
          <w:p w:rsidR="00F968D4" w:rsidRPr="00AB2D1A" w:rsidRDefault="00F968D4" w:rsidP="00DA2CAB">
            <w:pPr>
              <w:spacing w:after="0" w:line="240" w:lineRule="auto"/>
            </w:pPr>
            <w:r w:rsidRPr="00AB2D1A">
              <w:t>(</w:t>
            </w:r>
            <w:r w:rsidRPr="00BC4BEE">
              <w:rPr>
                <w:i/>
              </w:rPr>
              <w:t>applies to Orders when any item is listed as requiring unique item identification</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Jun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252.215-7000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Pricing Adjustments</w:t>
            </w:r>
          </w:p>
          <w:p w:rsidR="00F968D4" w:rsidRPr="00AB2D1A" w:rsidRDefault="00F968D4" w:rsidP="00DA2CAB">
            <w:pPr>
              <w:spacing w:after="0" w:line="240" w:lineRule="auto"/>
            </w:pPr>
            <w:r w:rsidRPr="00AB2D1A">
              <w:t>(</w:t>
            </w:r>
            <w:r w:rsidRPr="00BC4BEE">
              <w:rPr>
                <w:i/>
              </w:rPr>
              <w:t>applies when it is contemplated that Cost or Pricing Data will be required</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1991)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252.219-7003</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Small Business Subcontracting Plan (DoD Contracts) </w:t>
            </w:r>
          </w:p>
          <w:p w:rsidR="00F968D4" w:rsidRPr="00AB2D1A" w:rsidRDefault="00F968D4" w:rsidP="00DA2CAB">
            <w:pPr>
              <w:spacing w:after="0" w:line="240" w:lineRule="auto"/>
            </w:pPr>
            <w:r w:rsidRPr="00AB2D1A">
              <w:t>(</w:t>
            </w:r>
            <w:r w:rsidRPr="00BC4BEE">
              <w:rPr>
                <w:i/>
              </w:rPr>
              <w:t>supplements FAR 52.219-9 above</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Jun 2012</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252.222-7006</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Restrictions on the Use of Mandatory Arbitration Agreements</w:t>
            </w:r>
          </w:p>
          <w:p w:rsidR="00F968D4" w:rsidRPr="00AB2D1A" w:rsidRDefault="00F968D4" w:rsidP="00DA2CAB">
            <w:pPr>
              <w:spacing w:after="0" w:line="240" w:lineRule="auto"/>
            </w:pPr>
            <w:r w:rsidRPr="00AB2D1A">
              <w:t>(</w:t>
            </w:r>
            <w:r w:rsidRPr="00BC4BEE">
              <w:rPr>
                <w:i/>
              </w:rPr>
              <w:t>applies to Orders over $1,000,000, except 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Dec</w:t>
            </w:r>
            <w:r w:rsidRPr="00AB2D1A">
              <w:t xml:space="preserve"> 2010)</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252.223-7008</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Prohibition of Hexavalent Chromium</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t>(May 2011)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Qualifying Country Sources as Subcontractors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rsidR="00A672A8">
              <w:t>Apr 2003</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252.225-7004</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Report of Intended Contract Performance Outside the United States and Canada – Submission After Award </w:t>
            </w:r>
          </w:p>
          <w:p w:rsidR="00F968D4" w:rsidRPr="00AB2D1A" w:rsidRDefault="00F968D4" w:rsidP="00DA2CAB">
            <w:pPr>
              <w:spacing w:after="0" w:line="240" w:lineRule="auto"/>
            </w:pPr>
            <w:r w:rsidRPr="00AB2D1A">
              <w:t>(</w:t>
            </w:r>
            <w:r w:rsidRPr="00BC4BEE">
              <w:rPr>
                <w:i/>
              </w:rPr>
              <w:t>applies to Orders over $650,000 and could be perform in United States or Canada</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Oct 2010</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252.225-7006</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Quarterly Reporting of Actual Contract Performance Outside the United States  </w:t>
            </w:r>
          </w:p>
          <w:p w:rsidR="00F968D4" w:rsidRPr="00AB2D1A" w:rsidRDefault="00F968D4" w:rsidP="00DA2CAB">
            <w:pPr>
              <w:spacing w:after="0" w:line="240" w:lineRule="auto"/>
            </w:pPr>
            <w:r w:rsidRPr="00AB2D1A">
              <w:t>(</w:t>
            </w:r>
            <w:r w:rsidRPr="00BC4BEE">
              <w:rPr>
                <w:i/>
              </w:rPr>
              <w:t>applies to Orders over $650,000, except 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Oct 2010</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252.225-7007</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Prohibition on Acquisition of United States Munitions List Items from Communist Chinese Military Companies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t>(Sep 2006)</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252.225-7009</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Certain Articles Containing Specialty Metals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rsidR="00A672A8">
              <w:t>Jan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Preference for Certain Domestic Commodities</w:t>
            </w:r>
          </w:p>
          <w:p w:rsidR="00F968D4" w:rsidRPr="00AB2D1A" w:rsidRDefault="00F968D4" w:rsidP="00DA2CAB">
            <w:pPr>
              <w:spacing w:after="0" w:line="240" w:lineRule="auto"/>
            </w:pPr>
            <w:r w:rsidRPr="00AB2D1A">
              <w:t>(</w:t>
            </w:r>
            <w:r w:rsidRPr="00BC4BEE">
              <w:rPr>
                <w:i/>
              </w:rPr>
              <w:t>applies to Orders over the SAT threshold</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A672A8">
            <w:pPr>
              <w:spacing w:after="0" w:line="240" w:lineRule="auto"/>
              <w:jc w:val="center"/>
            </w:pPr>
            <w:r w:rsidRPr="00AB2D1A">
              <w:t>(</w:t>
            </w:r>
            <w:r>
              <w:t>Jun 201</w:t>
            </w:r>
            <w:r w:rsidR="00A672A8">
              <w:t>0</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252.225-7013</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Duty-Free Entry </w:t>
            </w:r>
          </w:p>
        </w:tc>
        <w:tc>
          <w:tcPr>
            <w:tcW w:w="1260" w:type="dxa"/>
            <w:tcBorders>
              <w:left w:val="single" w:sz="4" w:space="0" w:color="auto"/>
              <w:bottom w:val="single" w:sz="4" w:space="0" w:color="auto"/>
              <w:right w:val="single" w:sz="4" w:space="0" w:color="auto"/>
            </w:tcBorders>
          </w:tcPr>
          <w:p w:rsidR="00F968D4" w:rsidRPr="00AB2D1A" w:rsidRDefault="00A672A8" w:rsidP="00DA2CAB">
            <w:pPr>
              <w:spacing w:after="0" w:line="240" w:lineRule="auto"/>
              <w:jc w:val="center"/>
            </w:pPr>
            <w:r>
              <w:t>(Dec 2009</w:t>
            </w:r>
            <w:r w:rsidR="00F968D4"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252.225-7015</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Restriction on Acquisition of Hand or Measuring Tools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(Jun 2005)</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252.225-7016</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Ball And Roller Bearings  </w:t>
            </w:r>
          </w:p>
          <w:p w:rsidR="00F968D4" w:rsidRPr="00AB2D1A" w:rsidRDefault="00F968D4" w:rsidP="00DA2CAB">
            <w:pPr>
              <w:spacing w:after="0" w:line="240" w:lineRule="auto"/>
            </w:pPr>
            <w:r w:rsidRPr="00AB2D1A">
              <w:t>(</w:t>
            </w:r>
            <w:r w:rsidRPr="00BC4BEE">
              <w:rPr>
                <w:i/>
              </w:rPr>
              <w:t>commercial items and items not containing ball or roller bearings are exempt</w:t>
            </w:r>
            <w:r w:rsidRPr="00AB2D1A">
              <w:t xml:space="preserve">)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Jun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252.225-7019</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Anchor and Mooring Chain </w:t>
            </w:r>
          </w:p>
          <w:p w:rsidR="00F968D4" w:rsidRPr="00AB2D1A" w:rsidRDefault="00F968D4" w:rsidP="00DA2CAB">
            <w:pPr>
              <w:spacing w:after="0" w:line="240" w:lineRule="auto"/>
            </w:pPr>
            <w:r w:rsidRPr="00AB2D1A">
              <w:t>(</w:t>
            </w:r>
            <w:r w:rsidRPr="00BC4BEE">
              <w:rPr>
                <w:i/>
              </w:rPr>
              <w:t>applies to items containing welded shipboard anchor and mooring chain, four inches or less in diameter</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2009)</w:t>
            </w:r>
          </w:p>
        </w:tc>
      </w:tr>
      <w:tr w:rsidR="00A672A8" w:rsidRPr="00D0316D" w:rsidTr="00B1289A">
        <w:tc>
          <w:tcPr>
            <w:tcW w:w="162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252.225-7021</w:t>
            </w:r>
          </w:p>
        </w:tc>
        <w:tc>
          <w:tcPr>
            <w:tcW w:w="729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Trade Agreements</w:t>
            </w:r>
          </w:p>
        </w:tc>
        <w:tc>
          <w:tcPr>
            <w:tcW w:w="126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jc w:val="center"/>
            </w:pPr>
            <w:r>
              <w:t>(Jan 2012)</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252.225-7025</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Restriction on Acquisition of Forgings</w:t>
            </w:r>
          </w:p>
          <w:p w:rsidR="00F968D4" w:rsidRPr="00AB2D1A" w:rsidRDefault="00F968D4" w:rsidP="00DA2CAB">
            <w:pPr>
              <w:spacing w:after="0" w:line="240" w:lineRule="auto"/>
            </w:pPr>
            <w:r w:rsidRPr="00AB2D1A">
              <w:t>(</w:t>
            </w:r>
            <w:r w:rsidRPr="00BC4BEE">
              <w:rPr>
                <w:i/>
              </w:rPr>
              <w:t>applies to forged items or items containing forged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2009)</w:t>
            </w:r>
          </w:p>
        </w:tc>
      </w:tr>
      <w:tr w:rsidR="00A672A8" w:rsidRPr="00D0316D" w:rsidTr="00B1289A">
        <w:tc>
          <w:tcPr>
            <w:tcW w:w="162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252.225-7036</w:t>
            </w:r>
          </w:p>
        </w:tc>
        <w:tc>
          <w:tcPr>
            <w:tcW w:w="729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Buy American – Free Trade Agreement – Balance of Payments Program</w:t>
            </w:r>
          </w:p>
        </w:tc>
        <w:tc>
          <w:tcPr>
            <w:tcW w:w="126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jc w:val="center"/>
            </w:pPr>
            <w:r>
              <w:t>(Oct 2011)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252.225-7038</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Air Circuit Breakers </w:t>
            </w:r>
          </w:p>
          <w:p w:rsidR="00F968D4" w:rsidRPr="00AB2D1A" w:rsidRDefault="00F968D4" w:rsidP="00DA2CAB">
            <w:pPr>
              <w:spacing w:after="0" w:line="240" w:lineRule="auto"/>
            </w:pPr>
            <w:r w:rsidRPr="00AB2D1A">
              <w:t>(</w:t>
            </w:r>
            <w:r w:rsidRPr="00BC4BEE">
              <w:rPr>
                <w:i/>
              </w:rPr>
              <w:t>applies to Orders over the SAT</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(Jun 2005)</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672A8" w:rsidRDefault="00F968D4" w:rsidP="00DA2CAB">
            <w:pPr>
              <w:spacing w:after="0" w:line="240" w:lineRule="auto"/>
              <w:rPr>
                <w:highlight w:val="yellow"/>
              </w:rPr>
            </w:pPr>
            <w:r w:rsidRPr="002C0CA8">
              <w:t>252.226-7001</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Utilization of Indian Organizations, Indian-Owned Economic Enterprises and Native Hawaiian Small Business Concerns</w:t>
            </w:r>
          </w:p>
          <w:p w:rsidR="00F968D4" w:rsidRPr="00AB2D1A" w:rsidRDefault="00F968D4" w:rsidP="00DA2CAB">
            <w:pPr>
              <w:spacing w:after="0" w:line="240" w:lineRule="auto"/>
            </w:pPr>
            <w:r w:rsidRPr="00AB2D1A">
              <w:t>(</w:t>
            </w:r>
            <w:r w:rsidRPr="00BC4BEE">
              <w:rPr>
                <w:i/>
              </w:rPr>
              <w:t>applies to Orders exceeding $500,000</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(Sep 2004)</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252.227-7013</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Rights in Technical Data - Noncommercial Items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Feb 2012</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252.227-7014</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Rights in Noncommercial Computer Software and Noncommercial Computer Software Documentation</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Feb 2012</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252.227-7016</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Rights in Bid or Proposal Information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Jan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w:t>
            </w:r>
            <w:r>
              <w:t>9</w:t>
            </w:r>
            <w:r w:rsidR="000F265F">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Validation of Asserted Restrictions - Computer Software </w:t>
            </w:r>
          </w:p>
          <w:p w:rsidR="00F968D4" w:rsidRPr="00AB2D1A" w:rsidRDefault="00F968D4" w:rsidP="00DA2CAB">
            <w:pPr>
              <w:spacing w:after="0" w:line="240" w:lineRule="auto"/>
            </w:pPr>
            <w:r w:rsidRPr="00AB2D1A">
              <w:t>(</w:t>
            </w:r>
            <w:r w:rsidRPr="00BC4BEE">
              <w:rPr>
                <w:i/>
              </w:rPr>
              <w:t>applies to Orders that will be furnishing computer software during performance of Order</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Sep 2011</w:t>
            </w:r>
            <w:r w:rsidRPr="00AB2D1A">
              <w:t>)</w:t>
            </w:r>
          </w:p>
        </w:tc>
      </w:tr>
      <w:tr w:rsidR="00A672A8" w:rsidRPr="00D0316D" w:rsidTr="00B1289A">
        <w:tc>
          <w:tcPr>
            <w:tcW w:w="1620" w:type="dxa"/>
            <w:tcBorders>
              <w:left w:val="single" w:sz="4" w:space="0" w:color="auto"/>
              <w:bottom w:val="single" w:sz="4" w:space="0" w:color="auto"/>
              <w:right w:val="single" w:sz="4" w:space="0" w:color="auto"/>
            </w:tcBorders>
          </w:tcPr>
          <w:p w:rsidR="00A672A8" w:rsidRPr="00AB2D1A" w:rsidRDefault="00A672A8" w:rsidP="000F265F">
            <w:pPr>
              <w:spacing w:after="0" w:line="240" w:lineRule="auto"/>
            </w:pPr>
            <w:r>
              <w:t>252.22</w:t>
            </w:r>
            <w:r w:rsidR="000F265F">
              <w:t>7</w:t>
            </w:r>
            <w:r>
              <w:t>-7025</w:t>
            </w:r>
          </w:p>
        </w:tc>
        <w:tc>
          <w:tcPr>
            <w:tcW w:w="729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Limitations on the Use or Disclosure of Government-Furnished Information Marked with Restrictive Legends</w:t>
            </w:r>
          </w:p>
        </w:tc>
        <w:tc>
          <w:tcPr>
            <w:tcW w:w="126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jc w:val="center"/>
            </w:pPr>
            <w:r>
              <w:t>(Mar 2011)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252.227-7027</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Deferred Ordering of Technical Data or Computer Software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(Apr 1988)</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252.227-7030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Technical Data – Withholding of Payment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(Mar 2000)</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252.227-7037</w:t>
            </w:r>
            <w:r w:rsidR="000F265F">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Validation of Restrictive Markings on Technical Data </w:t>
            </w:r>
          </w:p>
          <w:p w:rsidR="00F968D4" w:rsidRPr="00AB2D1A" w:rsidRDefault="00F968D4" w:rsidP="00DA2CAB">
            <w:pPr>
              <w:spacing w:after="0" w:line="240" w:lineRule="auto"/>
            </w:pPr>
            <w:r w:rsidRPr="00AB2D1A">
              <w:t xml:space="preserve">(commercial items or components exempt)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rsidR="00A672A8">
              <w:t>Sep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252.231-7000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Supplemental Cost Principles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1991)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252.244-7000</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16C83">
            <w:pPr>
              <w:spacing w:after="0" w:line="240" w:lineRule="auto"/>
            </w:pPr>
            <w:r w:rsidRPr="00AB2D1A">
              <w:t>Subcontracts for Commercial Items and Commercial Components (DoD Contracts)(</w:t>
            </w:r>
            <w:r w:rsidRPr="00BC4BEE">
              <w:rPr>
                <w:i/>
              </w:rPr>
              <w:t>supplements FAR 52.244-6</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rsidR="00A672A8">
              <w:t>Sep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252.245-7001</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Tagging, Labeling, and Marking of Government-Furnished Property</w:t>
            </w:r>
          </w:p>
        </w:tc>
        <w:tc>
          <w:tcPr>
            <w:tcW w:w="1260" w:type="dxa"/>
            <w:tcBorders>
              <w:left w:val="single" w:sz="4" w:space="0" w:color="auto"/>
              <w:bottom w:val="single" w:sz="4" w:space="0" w:color="auto"/>
              <w:right w:val="single" w:sz="4" w:space="0" w:color="auto"/>
            </w:tcBorders>
          </w:tcPr>
          <w:p w:rsidR="00F968D4" w:rsidRPr="003F37D2" w:rsidRDefault="00A672A8" w:rsidP="00A672A8">
            <w:pPr>
              <w:spacing w:after="0" w:line="240" w:lineRule="auto"/>
            </w:pPr>
            <w:r>
              <w:t>(Feb 2011</w:t>
            </w:r>
            <w:r w:rsidR="00F968D4"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252.245-7002</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3F37D2">
              <w:t xml:space="preserve">Reporting Loss of Government Property </w:t>
            </w:r>
          </w:p>
          <w:p w:rsidR="00F968D4" w:rsidRPr="003F37D2" w:rsidRDefault="00F968D4" w:rsidP="00DA2CAB">
            <w:pPr>
              <w:spacing w:after="0" w:line="240" w:lineRule="auto"/>
            </w:pPr>
            <w:r w:rsidRPr="003F37D2">
              <w:t>(</w:t>
            </w:r>
            <w:r w:rsidRPr="00BC4BEE">
              <w:rPr>
                <w:i/>
              </w:rPr>
              <w:t>Seller shall forward the information required by the Clause to Buyer</w:t>
            </w:r>
            <w:r w:rsidRPr="003F37D2">
              <w:t>)</w:t>
            </w:r>
          </w:p>
        </w:tc>
        <w:tc>
          <w:tcPr>
            <w:tcW w:w="126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w:t>
            </w:r>
            <w:r w:rsidR="002C0CA8">
              <w:t>Feb 2011</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252.245-7003</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Contractor Property Management System Administration</w:t>
            </w:r>
          </w:p>
        </w:tc>
        <w:tc>
          <w:tcPr>
            <w:tcW w:w="126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w:t>
            </w:r>
            <w:r w:rsidR="002C0CA8">
              <w:t>Feb</w:t>
            </w:r>
            <w:r>
              <w:t xml:space="preserve"> 2012</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252.245-7004</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3F37D2">
              <w:t xml:space="preserve">Reporting, Reutilization, and Disposal </w:t>
            </w:r>
          </w:p>
          <w:p w:rsidR="00F968D4" w:rsidRPr="003F37D2" w:rsidRDefault="00F968D4" w:rsidP="00DA2CAB">
            <w:pPr>
              <w:spacing w:after="0" w:line="240" w:lineRule="auto"/>
            </w:pPr>
            <w:r w:rsidRPr="003F37D2">
              <w:rPr>
                <w:i/>
              </w:rPr>
              <w:t>(Seller shall provide inventory disposal schedules to Buyer)</w:t>
            </w:r>
          </w:p>
        </w:tc>
        <w:tc>
          <w:tcPr>
            <w:tcW w:w="1260" w:type="dxa"/>
            <w:tcBorders>
              <w:left w:val="single" w:sz="4" w:space="0" w:color="auto"/>
              <w:bottom w:val="single" w:sz="4" w:space="0" w:color="auto"/>
              <w:right w:val="single" w:sz="4" w:space="0" w:color="auto"/>
            </w:tcBorders>
          </w:tcPr>
          <w:p w:rsidR="00F968D4" w:rsidRPr="003F37D2" w:rsidRDefault="002C0CA8" w:rsidP="00DA2CAB">
            <w:pPr>
              <w:spacing w:after="0" w:line="240" w:lineRule="auto"/>
            </w:pPr>
            <w:r>
              <w:t>(Aug 2011</w:t>
            </w:r>
            <w:r w:rsidR="00F968D4">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252.246-7001</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Warranty Of Data</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1991)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252.246-7003</w:t>
            </w:r>
            <w:r w:rsidR="000F265F">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Notification of Potential Safety Issues </w:t>
            </w:r>
          </w:p>
          <w:p w:rsidR="00F968D4" w:rsidRPr="00AB2D1A" w:rsidRDefault="00F968D4" w:rsidP="00DA2CAB">
            <w:pPr>
              <w:spacing w:after="0" w:line="240" w:lineRule="auto"/>
            </w:pPr>
            <w:r w:rsidRPr="00AB2D1A">
              <w:t>(</w:t>
            </w:r>
            <w:r w:rsidRPr="00BC4BEE">
              <w:rPr>
                <w:i/>
              </w:rPr>
              <w:t>applies to Orders that Items are identified as: (i) critical safety items; (ii) systems and subsystems, assemblies, and subassemblies integral to a system; or (iii) repair, maintenance, logistics support, or overhaul services for systems and subsystems, assemblies, subassemblies, and parts integral to a system</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(Jan 2007)</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E6BC8">
              <w:t>252.247-7023</w:t>
            </w:r>
            <w:r w:rsidR="000F265F">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Transportation of Supplies By Sea </w:t>
            </w:r>
          </w:p>
          <w:p w:rsidR="00F968D4" w:rsidRPr="00AB2D1A" w:rsidRDefault="00F968D4" w:rsidP="00DA2CAB">
            <w:pPr>
              <w:spacing w:after="0" w:line="240" w:lineRule="auto"/>
            </w:pPr>
            <w:r w:rsidRPr="00AB2D1A">
              <w:t>(</w:t>
            </w:r>
            <w:r w:rsidRPr="00BC4BEE">
              <w:rPr>
                <w:i/>
              </w:rPr>
              <w:t>applies to Orders over the SAT; below the SAT only paragraphs (a) through (e), and (h), apply</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(May 2002)</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252.247-7024</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Notification of Transportation of Supplies By Sea </w:t>
            </w:r>
          </w:p>
          <w:p w:rsidR="00F968D4" w:rsidRPr="00AB2D1A" w:rsidRDefault="00F968D4" w:rsidP="00DA2CAB">
            <w:pPr>
              <w:spacing w:after="0" w:line="240" w:lineRule="auto"/>
            </w:pPr>
            <w:r w:rsidRPr="00AB2D1A">
              <w:t>(</w:t>
            </w:r>
            <w:r w:rsidRPr="00BC4BEE">
              <w:rPr>
                <w:i/>
              </w:rPr>
              <w:t>applies to Orders for noncommercial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(Mar 2000)</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252.249-7002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Notification of Anticipated Contract Termination or Reduction </w:t>
            </w:r>
          </w:p>
          <w:p w:rsidR="00F968D4" w:rsidRPr="00AB2D1A" w:rsidRDefault="00F968D4" w:rsidP="00DA2CAB">
            <w:pPr>
              <w:spacing w:after="0" w:line="240" w:lineRule="auto"/>
            </w:pPr>
            <w:r w:rsidRPr="00AB2D1A">
              <w:t>(</w:t>
            </w:r>
            <w:r w:rsidRPr="00BC4BEE">
              <w:rPr>
                <w:i/>
              </w:rPr>
              <w:t>applies to Orders at $650,000 or more when Seller is first-tier subcontractor or $150,000 or more for lower-tier subcontractor</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Oct 2010</w:t>
            </w:r>
            <w:r w:rsidRPr="00AB2D1A">
              <w:t>)</w:t>
            </w:r>
          </w:p>
        </w:tc>
      </w:tr>
    </w:tbl>
    <w:p w:rsidR="00B23F37" w:rsidRDefault="00B23F37" w:rsidP="00B23F37">
      <w:pPr>
        <w:spacing w:after="0" w:line="240" w:lineRule="auto"/>
        <w:ind w:firstLine="720"/>
        <w:rPr>
          <w:bCs/>
          <w:sz w:val="20"/>
          <w:szCs w:val="20"/>
        </w:rPr>
      </w:pPr>
      <w:r>
        <w:rPr>
          <w:bCs/>
          <w:sz w:val="20"/>
          <w:szCs w:val="20"/>
        </w:rPr>
        <w:t xml:space="preserve">*Denotes mandatory flow down where applicable. </w:t>
      </w:r>
    </w:p>
    <w:p w:rsidR="001E4839" w:rsidRPr="00464189" w:rsidRDefault="001E4839" w:rsidP="001E4839">
      <w:pPr>
        <w:spacing w:after="0" w:line="240" w:lineRule="auto"/>
        <w:ind w:firstLine="720"/>
        <w:rPr>
          <w:bCs/>
          <w:sz w:val="20"/>
          <w:szCs w:val="20"/>
        </w:rPr>
      </w:pPr>
    </w:p>
    <w:sectPr w:rsidR="001E4839" w:rsidRPr="00464189" w:rsidSect="000F265F">
      <w:headerReference w:type="default" r:id="rId9"/>
      <w:footerReference w:type="default" r:id="rId10"/>
      <w:pgSz w:w="12240" w:h="15840"/>
      <w:pgMar w:top="720" w:right="720" w:bottom="720" w:left="720" w:header="54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1F" w:rsidRDefault="00B0411F" w:rsidP="000643C3">
      <w:pPr>
        <w:spacing w:after="0" w:line="240" w:lineRule="auto"/>
      </w:pPr>
      <w:r>
        <w:separator/>
      </w:r>
    </w:p>
  </w:endnote>
  <w:endnote w:type="continuationSeparator" w:id="0">
    <w:p w:rsidR="00B0411F" w:rsidRDefault="00B0411F" w:rsidP="0006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A6" w:rsidRDefault="00E921A6" w:rsidP="00C97450">
    <w:pPr>
      <w:pStyle w:val="Footer"/>
      <w:rPr>
        <w:sz w:val="18"/>
        <w:szCs w:val="18"/>
      </w:rPr>
    </w:pPr>
  </w:p>
  <w:p w:rsidR="00E921A6" w:rsidRPr="00385C2C" w:rsidRDefault="00E921A6" w:rsidP="00DA2CAB">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sidRPr="0031686E">
      <w:rPr>
        <w:rFonts w:ascii="Arial" w:hAnsi="Arial" w:cs="Arial"/>
        <w:sz w:val="14"/>
        <w:szCs w:val="14"/>
      </w:rPr>
      <w:t>P</w:t>
    </w:r>
    <w:r w:rsidR="004B0C22">
      <w:rPr>
        <w:rFonts w:ascii="Arial" w:hAnsi="Arial" w:cs="Arial"/>
        <w:sz w:val="14"/>
        <w:szCs w:val="14"/>
      </w:rPr>
      <w:t>9568</w:t>
    </w:r>
    <w:r>
      <w:rPr>
        <w:rFonts w:ascii="Arial" w:hAnsi="Arial" w:cs="Arial"/>
        <w:sz w:val="14"/>
        <w:szCs w:val="14"/>
      </w:rPr>
      <w:t xml:space="preserve"> (</w:t>
    </w:r>
    <w:r w:rsidR="00AC2FB1">
      <w:rPr>
        <w:rFonts w:ascii="Arial" w:hAnsi="Arial" w:cs="Arial"/>
        <w:sz w:val="14"/>
        <w:szCs w:val="14"/>
      </w:rPr>
      <w:t>0</w:t>
    </w:r>
    <w:r w:rsidR="000F265F">
      <w:rPr>
        <w:rFonts w:ascii="Arial" w:hAnsi="Arial" w:cs="Arial"/>
        <w:sz w:val="14"/>
        <w:szCs w:val="14"/>
      </w:rPr>
      <w:t>9/10/20</w:t>
    </w:r>
    <w:r>
      <w:rPr>
        <w:rFonts w:ascii="Arial" w:hAnsi="Arial" w:cs="Arial"/>
        <w:sz w:val="14"/>
        <w:szCs w:val="14"/>
      </w:rPr>
      <w:t>)</w:t>
    </w:r>
    <w:r w:rsidRPr="00385C2C">
      <w:rPr>
        <w:rFonts w:ascii="Arial" w:hAnsi="Arial" w:cs="Arial"/>
        <w:sz w:val="14"/>
        <w:szCs w:val="14"/>
      </w:rPr>
      <w:tab/>
      <w:t xml:space="preserve">Page </w:t>
    </w:r>
    <w:r w:rsidR="007E136A"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007E136A" w:rsidRPr="00385C2C">
      <w:rPr>
        <w:rStyle w:val="PageNumber"/>
        <w:rFonts w:ascii="Arial" w:hAnsi="Arial" w:cs="Arial"/>
        <w:sz w:val="14"/>
        <w:szCs w:val="14"/>
      </w:rPr>
      <w:fldChar w:fldCharType="separate"/>
    </w:r>
    <w:r w:rsidR="00B0411F">
      <w:rPr>
        <w:rStyle w:val="PageNumber"/>
        <w:rFonts w:ascii="Arial" w:hAnsi="Arial" w:cs="Arial"/>
        <w:noProof/>
        <w:sz w:val="14"/>
        <w:szCs w:val="14"/>
      </w:rPr>
      <w:t>1</w:t>
    </w:r>
    <w:r w:rsidR="007E136A"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007E136A"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007E136A" w:rsidRPr="00385C2C">
      <w:rPr>
        <w:rStyle w:val="PageNumber"/>
        <w:rFonts w:ascii="Arial" w:hAnsi="Arial" w:cs="Arial"/>
        <w:sz w:val="14"/>
        <w:szCs w:val="14"/>
      </w:rPr>
      <w:fldChar w:fldCharType="separate"/>
    </w:r>
    <w:r w:rsidR="00B0411F">
      <w:rPr>
        <w:rStyle w:val="PageNumber"/>
        <w:rFonts w:ascii="Arial" w:hAnsi="Arial" w:cs="Arial"/>
        <w:noProof/>
        <w:sz w:val="14"/>
        <w:szCs w:val="14"/>
      </w:rPr>
      <w:t>1</w:t>
    </w:r>
    <w:r w:rsidR="007E136A" w:rsidRPr="00385C2C">
      <w:rPr>
        <w:rStyle w:val="PageNumber"/>
        <w:rFonts w:ascii="Arial" w:hAnsi="Arial" w:cs="Arial"/>
        <w:sz w:val="14"/>
        <w:szCs w:val="14"/>
      </w:rPr>
      <w:fldChar w:fldCharType="end"/>
    </w:r>
  </w:p>
  <w:p w:rsidR="00E921A6" w:rsidRPr="00004933" w:rsidRDefault="00E921A6" w:rsidP="00004933">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rsidR="00E921A6" w:rsidRPr="000643C3" w:rsidRDefault="00E921A6" w:rsidP="0000493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1F" w:rsidRDefault="00B0411F" w:rsidP="000643C3">
      <w:pPr>
        <w:spacing w:after="0" w:line="240" w:lineRule="auto"/>
      </w:pPr>
      <w:r>
        <w:separator/>
      </w:r>
    </w:p>
  </w:footnote>
  <w:footnote w:type="continuationSeparator" w:id="0">
    <w:p w:rsidR="00B0411F" w:rsidRDefault="00B0411F" w:rsidP="0006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F" w:rsidRDefault="002C7A51">
    <w:pPr>
      <w:pStyle w:val="Header"/>
    </w:pPr>
    <w:r>
      <w:rPr>
        <w:noProof/>
      </w:rPr>
      <w:drawing>
        <wp:inline distT="0" distB="0" distL="0" distR="0" wp14:anchorId="273BE972" wp14:editId="42D07DB4">
          <wp:extent cx="1463040" cy="4572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p w:rsidR="000F265F" w:rsidRDefault="000F2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903"/>
    <w:multiLevelType w:val="multilevel"/>
    <w:tmpl w:val="EB5EF5DA"/>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F7A09"/>
    <w:multiLevelType w:val="multilevel"/>
    <w:tmpl w:val="2C54F9D4"/>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10107ED"/>
    <w:multiLevelType w:val="multilevel"/>
    <w:tmpl w:val="3412205A"/>
    <w:lvl w:ilvl="0">
      <w:start w:val="1"/>
      <w:numFmt w:val="decimal"/>
      <w:pStyle w:val="list1"/>
      <w:lvlText w:val="%1."/>
      <w:lvlJc w:val="left"/>
      <w:pPr>
        <w:tabs>
          <w:tab w:val="num" w:pos="600"/>
        </w:tabs>
        <w:ind w:left="600" w:hanging="600"/>
      </w:pPr>
      <w:rPr>
        <w:rFonts w:asciiTheme="minorHAnsi" w:hAnsiTheme="minorHAnsi" w:hint="default"/>
      </w:rPr>
    </w:lvl>
    <w:lvl w:ilvl="1">
      <w:start w:val="1"/>
      <w:numFmt w:val="upperLetter"/>
      <w:lvlText w:val="%2."/>
      <w:lvlJc w:val="left"/>
      <w:pPr>
        <w:tabs>
          <w:tab w:val="num" w:pos="1320"/>
        </w:tabs>
        <w:ind w:left="1320" w:hanging="600"/>
      </w:pPr>
      <w:rPr>
        <w:rFonts w:hint="default"/>
      </w:rPr>
    </w:lvl>
    <w:lvl w:ilvl="2">
      <w:start w:val="1"/>
      <w:numFmt w:val="decimal"/>
      <w:lvlText w:val="(%3)"/>
      <w:lvlJc w:val="left"/>
      <w:pPr>
        <w:tabs>
          <w:tab w:val="num" w:pos="2040"/>
        </w:tabs>
        <w:ind w:left="2040" w:hanging="840"/>
      </w:pPr>
      <w:rPr>
        <w:rFonts w:hint="default"/>
      </w:rPr>
    </w:lvl>
    <w:lvl w:ilvl="3">
      <w:start w:val="1"/>
      <w:numFmt w:val="lowerRoman"/>
      <w:lvlText w:val="(%4)"/>
      <w:lvlJc w:val="left"/>
      <w:pPr>
        <w:tabs>
          <w:tab w:val="num" w:pos="3000"/>
        </w:tabs>
        <w:ind w:left="3000" w:hanging="960"/>
      </w:pPr>
      <w:rPr>
        <w:rFonts w:hint="default"/>
      </w:rPr>
    </w:lvl>
    <w:lvl w:ilvl="4">
      <w:start w:val="1"/>
      <w:numFmt w:val="lowerLetter"/>
      <w:lvlText w:val="(%5)"/>
      <w:lvlJc w:val="left"/>
      <w:pPr>
        <w:tabs>
          <w:tab w:val="num" w:pos="1848"/>
        </w:tabs>
        <w:ind w:left="1848" w:hanging="360"/>
      </w:pPr>
      <w:rPr>
        <w:rFonts w:hint="default"/>
      </w:rPr>
    </w:lvl>
    <w:lvl w:ilvl="5">
      <w:start w:val="1"/>
      <w:numFmt w:val="lowerRoman"/>
      <w:lvlText w:val="(%6)"/>
      <w:lvlJc w:val="left"/>
      <w:pPr>
        <w:tabs>
          <w:tab w:val="num" w:pos="2208"/>
        </w:tabs>
        <w:ind w:left="2208" w:hanging="360"/>
      </w:pPr>
      <w:rPr>
        <w:rFonts w:hint="default"/>
      </w:rPr>
    </w:lvl>
    <w:lvl w:ilvl="6">
      <w:start w:val="1"/>
      <w:numFmt w:val="decimal"/>
      <w:lvlText w:val="%7."/>
      <w:lvlJc w:val="left"/>
      <w:pPr>
        <w:tabs>
          <w:tab w:val="num" w:pos="2568"/>
        </w:tabs>
        <w:ind w:left="2568" w:hanging="360"/>
      </w:pPr>
      <w:rPr>
        <w:rFonts w:hint="default"/>
      </w:rPr>
    </w:lvl>
    <w:lvl w:ilvl="7">
      <w:start w:val="1"/>
      <w:numFmt w:val="lowerLetter"/>
      <w:lvlText w:val="%8."/>
      <w:lvlJc w:val="left"/>
      <w:pPr>
        <w:tabs>
          <w:tab w:val="num" w:pos="2928"/>
        </w:tabs>
        <w:ind w:left="2928" w:hanging="360"/>
      </w:pPr>
      <w:rPr>
        <w:rFonts w:hint="default"/>
      </w:rPr>
    </w:lvl>
    <w:lvl w:ilvl="8">
      <w:start w:val="1"/>
      <w:numFmt w:val="lowerRoman"/>
      <w:lvlText w:val="%9."/>
      <w:lvlJc w:val="left"/>
      <w:pPr>
        <w:tabs>
          <w:tab w:val="num" w:pos="3288"/>
        </w:tabs>
        <w:ind w:left="3288" w:hanging="360"/>
      </w:pPr>
      <w:rPr>
        <w:rFonts w:hint="default"/>
      </w:rPr>
    </w:lvl>
  </w:abstractNum>
  <w:abstractNum w:abstractNumId="3" w15:restartNumberingAfterBreak="0">
    <w:nsid w:val="24311670"/>
    <w:multiLevelType w:val="multilevel"/>
    <w:tmpl w:val="ABD0CD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947070"/>
    <w:multiLevelType w:val="multilevel"/>
    <w:tmpl w:val="56743200"/>
    <w:lvl w:ilvl="0">
      <w:start w:val="1"/>
      <w:numFmt w:val="decimal"/>
      <w:pStyle w:val="list10"/>
      <w:lvlText w:val="(%1)"/>
      <w:lvlJc w:val="left"/>
      <w:pPr>
        <w:tabs>
          <w:tab w:val="num" w:pos="1800"/>
        </w:tabs>
        <w:ind w:left="1800" w:hanging="629"/>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611"/>
        </w:tabs>
        <w:ind w:left="2611" w:hanging="811"/>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33"/>
        </w:tabs>
        <w:ind w:left="3033" w:hanging="631"/>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51"/>
        </w:tabs>
        <w:ind w:left="1951"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311"/>
        </w:tabs>
        <w:ind w:left="2311" w:hanging="360"/>
      </w:pPr>
      <w:rPr>
        <w:rFonts w:hint="default"/>
      </w:rPr>
    </w:lvl>
    <w:lvl w:ilvl="5">
      <w:start w:val="1"/>
      <w:numFmt w:val="lowerRoman"/>
      <w:lvlText w:val="(%6)"/>
      <w:lvlJc w:val="left"/>
      <w:pPr>
        <w:tabs>
          <w:tab w:val="num" w:pos="2671"/>
        </w:tabs>
        <w:ind w:left="2671" w:hanging="360"/>
      </w:pPr>
      <w:rPr>
        <w:rFonts w:hint="default"/>
      </w:rPr>
    </w:lvl>
    <w:lvl w:ilvl="6">
      <w:start w:val="1"/>
      <w:numFmt w:val="decimal"/>
      <w:lvlText w:val="%7."/>
      <w:lvlJc w:val="left"/>
      <w:pPr>
        <w:tabs>
          <w:tab w:val="num" w:pos="3031"/>
        </w:tabs>
        <w:ind w:left="3031" w:hanging="360"/>
      </w:pPr>
      <w:rPr>
        <w:rFonts w:hint="default"/>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5" w15:restartNumberingAfterBreak="0">
    <w:nsid w:val="3E020347"/>
    <w:multiLevelType w:val="multilevel"/>
    <w:tmpl w:val="FE26A1D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1530" w:hanging="360"/>
      </w:pPr>
      <w:rPr>
        <w:rFonts w:asciiTheme="minorHAnsi" w:eastAsia="Times New Roman" w:hAnsiTheme="minorHAnsi"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882F66"/>
    <w:multiLevelType w:val="multilevel"/>
    <w:tmpl w:val="161A43B8"/>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5ECB668E"/>
    <w:multiLevelType w:val="multilevel"/>
    <w:tmpl w:val="69962D0A"/>
    <w:lvl w:ilvl="0">
      <w:start w:val="8"/>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3874CD6"/>
    <w:multiLevelType w:val="hybridMultilevel"/>
    <w:tmpl w:val="521E9E06"/>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4"/>
  </w:num>
  <w:num w:numId="6">
    <w:abstractNumId w:val="1"/>
  </w:num>
  <w:num w:numId="7">
    <w:abstractNumId w:val="7"/>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1" w:cryptProviderType="rsaAES" w:cryptAlgorithmClass="hash" w:cryptAlgorithmType="typeAny" w:cryptAlgorithmSid="14" w:cryptSpinCount="100000" w:hash="YnjT/KsUBYjVhEM6fCnItGlnRVVSlz/LJjd0hbVA29zY9iafzde6N/cGbZD67j7aVZJHbgUqHamj1nBLXgXs/Q==" w:salt="qtbdPa2j2+xvHp7pAt7J6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F8"/>
    <w:rsid w:val="00000C18"/>
    <w:rsid w:val="00004933"/>
    <w:rsid w:val="00020236"/>
    <w:rsid w:val="0002267E"/>
    <w:rsid w:val="00024216"/>
    <w:rsid w:val="0003147D"/>
    <w:rsid w:val="00044D1C"/>
    <w:rsid w:val="00044E7C"/>
    <w:rsid w:val="00055584"/>
    <w:rsid w:val="000643C3"/>
    <w:rsid w:val="0007078D"/>
    <w:rsid w:val="0007755A"/>
    <w:rsid w:val="00080B93"/>
    <w:rsid w:val="00086D84"/>
    <w:rsid w:val="000B5669"/>
    <w:rsid w:val="000C0D07"/>
    <w:rsid w:val="000C1227"/>
    <w:rsid w:val="000C3D0B"/>
    <w:rsid w:val="000D1FD8"/>
    <w:rsid w:val="000D5B31"/>
    <w:rsid w:val="000E0EF7"/>
    <w:rsid w:val="000E28D0"/>
    <w:rsid w:val="000E49C8"/>
    <w:rsid w:val="000F265F"/>
    <w:rsid w:val="00100EA9"/>
    <w:rsid w:val="00110688"/>
    <w:rsid w:val="001229F8"/>
    <w:rsid w:val="00136751"/>
    <w:rsid w:val="00147E6F"/>
    <w:rsid w:val="00150639"/>
    <w:rsid w:val="00153FD8"/>
    <w:rsid w:val="00156C3B"/>
    <w:rsid w:val="001753DF"/>
    <w:rsid w:val="001820B7"/>
    <w:rsid w:val="00183A3B"/>
    <w:rsid w:val="00184087"/>
    <w:rsid w:val="001858B1"/>
    <w:rsid w:val="001933D5"/>
    <w:rsid w:val="001A64C8"/>
    <w:rsid w:val="001B3A82"/>
    <w:rsid w:val="001B5EBF"/>
    <w:rsid w:val="001B72C0"/>
    <w:rsid w:val="001D19A4"/>
    <w:rsid w:val="001D3513"/>
    <w:rsid w:val="001E0368"/>
    <w:rsid w:val="001E4839"/>
    <w:rsid w:val="001F0537"/>
    <w:rsid w:val="001F1876"/>
    <w:rsid w:val="001F2BF0"/>
    <w:rsid w:val="001F5C6F"/>
    <w:rsid w:val="001F6483"/>
    <w:rsid w:val="001F750D"/>
    <w:rsid w:val="00207909"/>
    <w:rsid w:val="002123BB"/>
    <w:rsid w:val="00213415"/>
    <w:rsid w:val="00214DEB"/>
    <w:rsid w:val="00220562"/>
    <w:rsid w:val="0024485B"/>
    <w:rsid w:val="002478ED"/>
    <w:rsid w:val="00251ACE"/>
    <w:rsid w:val="00255C7C"/>
    <w:rsid w:val="002570CA"/>
    <w:rsid w:val="002616F8"/>
    <w:rsid w:val="00264472"/>
    <w:rsid w:val="002652DD"/>
    <w:rsid w:val="00266913"/>
    <w:rsid w:val="002671BF"/>
    <w:rsid w:val="00274F4F"/>
    <w:rsid w:val="00284D92"/>
    <w:rsid w:val="002B076C"/>
    <w:rsid w:val="002B74C8"/>
    <w:rsid w:val="002C0CA8"/>
    <w:rsid w:val="002C7A51"/>
    <w:rsid w:val="002D171A"/>
    <w:rsid w:val="002E0F04"/>
    <w:rsid w:val="002E5760"/>
    <w:rsid w:val="002E630C"/>
    <w:rsid w:val="002E6E96"/>
    <w:rsid w:val="002E72A3"/>
    <w:rsid w:val="002F24E5"/>
    <w:rsid w:val="0030012E"/>
    <w:rsid w:val="0030565A"/>
    <w:rsid w:val="00307DF6"/>
    <w:rsid w:val="003118D0"/>
    <w:rsid w:val="00311B13"/>
    <w:rsid w:val="00313CC1"/>
    <w:rsid w:val="0031686E"/>
    <w:rsid w:val="003177D8"/>
    <w:rsid w:val="00321DE7"/>
    <w:rsid w:val="00327C90"/>
    <w:rsid w:val="00336519"/>
    <w:rsid w:val="00337036"/>
    <w:rsid w:val="00342CAB"/>
    <w:rsid w:val="003445C6"/>
    <w:rsid w:val="003472E8"/>
    <w:rsid w:val="003521F6"/>
    <w:rsid w:val="003554D1"/>
    <w:rsid w:val="00374098"/>
    <w:rsid w:val="003768A4"/>
    <w:rsid w:val="00376EF9"/>
    <w:rsid w:val="003821C9"/>
    <w:rsid w:val="0038649F"/>
    <w:rsid w:val="00387559"/>
    <w:rsid w:val="003914A0"/>
    <w:rsid w:val="003A5850"/>
    <w:rsid w:val="003A7A87"/>
    <w:rsid w:val="003B68F5"/>
    <w:rsid w:val="003E0372"/>
    <w:rsid w:val="003E0AB6"/>
    <w:rsid w:val="003E0C6F"/>
    <w:rsid w:val="003E1E3C"/>
    <w:rsid w:val="003E6946"/>
    <w:rsid w:val="00400B86"/>
    <w:rsid w:val="00412F6C"/>
    <w:rsid w:val="00427094"/>
    <w:rsid w:val="004329AC"/>
    <w:rsid w:val="00432AE9"/>
    <w:rsid w:val="00440DA8"/>
    <w:rsid w:val="00444847"/>
    <w:rsid w:val="0044609A"/>
    <w:rsid w:val="00461474"/>
    <w:rsid w:val="00462B27"/>
    <w:rsid w:val="00464189"/>
    <w:rsid w:val="00474F6F"/>
    <w:rsid w:val="0047764C"/>
    <w:rsid w:val="0048094D"/>
    <w:rsid w:val="004841EF"/>
    <w:rsid w:val="00484E8F"/>
    <w:rsid w:val="00487169"/>
    <w:rsid w:val="004A1413"/>
    <w:rsid w:val="004B0C22"/>
    <w:rsid w:val="004D053E"/>
    <w:rsid w:val="004D4AF2"/>
    <w:rsid w:val="004D4EE3"/>
    <w:rsid w:val="004F3BF3"/>
    <w:rsid w:val="00504908"/>
    <w:rsid w:val="00506085"/>
    <w:rsid w:val="00506F74"/>
    <w:rsid w:val="00507E9E"/>
    <w:rsid w:val="00512E2C"/>
    <w:rsid w:val="00523C49"/>
    <w:rsid w:val="005276B6"/>
    <w:rsid w:val="00527948"/>
    <w:rsid w:val="0053284C"/>
    <w:rsid w:val="00542BF6"/>
    <w:rsid w:val="00546B42"/>
    <w:rsid w:val="00553DDC"/>
    <w:rsid w:val="005610E3"/>
    <w:rsid w:val="0056490A"/>
    <w:rsid w:val="00566B7E"/>
    <w:rsid w:val="00573182"/>
    <w:rsid w:val="005736CF"/>
    <w:rsid w:val="00583FE9"/>
    <w:rsid w:val="00586B0C"/>
    <w:rsid w:val="00594826"/>
    <w:rsid w:val="005971A9"/>
    <w:rsid w:val="005A11DD"/>
    <w:rsid w:val="005B7BB2"/>
    <w:rsid w:val="005C3844"/>
    <w:rsid w:val="005E2431"/>
    <w:rsid w:val="005E3C5D"/>
    <w:rsid w:val="005F1A44"/>
    <w:rsid w:val="005F44E6"/>
    <w:rsid w:val="00601572"/>
    <w:rsid w:val="006024A5"/>
    <w:rsid w:val="006025C1"/>
    <w:rsid w:val="00603B3B"/>
    <w:rsid w:val="00605E55"/>
    <w:rsid w:val="006113ED"/>
    <w:rsid w:val="0061679C"/>
    <w:rsid w:val="006229E1"/>
    <w:rsid w:val="006574C2"/>
    <w:rsid w:val="006575E1"/>
    <w:rsid w:val="00661B44"/>
    <w:rsid w:val="0067152E"/>
    <w:rsid w:val="00683300"/>
    <w:rsid w:val="00684185"/>
    <w:rsid w:val="006870F8"/>
    <w:rsid w:val="00691F0B"/>
    <w:rsid w:val="00692EA1"/>
    <w:rsid w:val="00693CAE"/>
    <w:rsid w:val="006954E0"/>
    <w:rsid w:val="006A1B3B"/>
    <w:rsid w:val="006A589A"/>
    <w:rsid w:val="006B1B0B"/>
    <w:rsid w:val="006C6ACD"/>
    <w:rsid w:val="006D4193"/>
    <w:rsid w:val="006D5DED"/>
    <w:rsid w:val="006F0B94"/>
    <w:rsid w:val="006F4139"/>
    <w:rsid w:val="006F7E6D"/>
    <w:rsid w:val="00715783"/>
    <w:rsid w:val="0071643A"/>
    <w:rsid w:val="00717C73"/>
    <w:rsid w:val="00722876"/>
    <w:rsid w:val="00723472"/>
    <w:rsid w:val="00732AE6"/>
    <w:rsid w:val="00733A63"/>
    <w:rsid w:val="00743D57"/>
    <w:rsid w:val="007444C5"/>
    <w:rsid w:val="00750651"/>
    <w:rsid w:val="007507C0"/>
    <w:rsid w:val="00750EB4"/>
    <w:rsid w:val="007548ED"/>
    <w:rsid w:val="0075748C"/>
    <w:rsid w:val="00757F2A"/>
    <w:rsid w:val="00760290"/>
    <w:rsid w:val="007602D6"/>
    <w:rsid w:val="00761EBF"/>
    <w:rsid w:val="00767B44"/>
    <w:rsid w:val="00775FE7"/>
    <w:rsid w:val="00785341"/>
    <w:rsid w:val="00790B58"/>
    <w:rsid w:val="007A29C5"/>
    <w:rsid w:val="007A3AF5"/>
    <w:rsid w:val="007A3F81"/>
    <w:rsid w:val="007B12D9"/>
    <w:rsid w:val="007B5051"/>
    <w:rsid w:val="007B75EB"/>
    <w:rsid w:val="007D6797"/>
    <w:rsid w:val="007E136A"/>
    <w:rsid w:val="007F416A"/>
    <w:rsid w:val="007F744F"/>
    <w:rsid w:val="00807B2C"/>
    <w:rsid w:val="00817CBC"/>
    <w:rsid w:val="00823BD0"/>
    <w:rsid w:val="00841EDD"/>
    <w:rsid w:val="00875403"/>
    <w:rsid w:val="00876B70"/>
    <w:rsid w:val="0087766C"/>
    <w:rsid w:val="00880394"/>
    <w:rsid w:val="0088178F"/>
    <w:rsid w:val="00883669"/>
    <w:rsid w:val="008837E9"/>
    <w:rsid w:val="008929DF"/>
    <w:rsid w:val="0089384A"/>
    <w:rsid w:val="0089502D"/>
    <w:rsid w:val="008B09AE"/>
    <w:rsid w:val="008B2BD7"/>
    <w:rsid w:val="008C096F"/>
    <w:rsid w:val="008C3000"/>
    <w:rsid w:val="008C710F"/>
    <w:rsid w:val="008D30F8"/>
    <w:rsid w:val="008D45DD"/>
    <w:rsid w:val="008D4D2B"/>
    <w:rsid w:val="008D6473"/>
    <w:rsid w:val="008E13A7"/>
    <w:rsid w:val="008F4E1B"/>
    <w:rsid w:val="008F63AC"/>
    <w:rsid w:val="00901357"/>
    <w:rsid w:val="009070D7"/>
    <w:rsid w:val="00932C4D"/>
    <w:rsid w:val="00942365"/>
    <w:rsid w:val="00953C45"/>
    <w:rsid w:val="00961877"/>
    <w:rsid w:val="00963D93"/>
    <w:rsid w:val="009654E1"/>
    <w:rsid w:val="00966558"/>
    <w:rsid w:val="00966BCC"/>
    <w:rsid w:val="00976AED"/>
    <w:rsid w:val="009778EB"/>
    <w:rsid w:val="00984305"/>
    <w:rsid w:val="009864FF"/>
    <w:rsid w:val="00990A54"/>
    <w:rsid w:val="00997A4C"/>
    <w:rsid w:val="009A4B0C"/>
    <w:rsid w:val="009B2681"/>
    <w:rsid w:val="009B6EED"/>
    <w:rsid w:val="009C46C3"/>
    <w:rsid w:val="009C6472"/>
    <w:rsid w:val="009F7852"/>
    <w:rsid w:val="00A021C1"/>
    <w:rsid w:val="00A106DB"/>
    <w:rsid w:val="00A108D9"/>
    <w:rsid w:val="00A23BFA"/>
    <w:rsid w:val="00A23C50"/>
    <w:rsid w:val="00A26840"/>
    <w:rsid w:val="00A30827"/>
    <w:rsid w:val="00A321C8"/>
    <w:rsid w:val="00A37C75"/>
    <w:rsid w:val="00A425E3"/>
    <w:rsid w:val="00A46B79"/>
    <w:rsid w:val="00A672A8"/>
    <w:rsid w:val="00A70B21"/>
    <w:rsid w:val="00A73C84"/>
    <w:rsid w:val="00A77246"/>
    <w:rsid w:val="00A81828"/>
    <w:rsid w:val="00A822CD"/>
    <w:rsid w:val="00A865AF"/>
    <w:rsid w:val="00A94D03"/>
    <w:rsid w:val="00A96791"/>
    <w:rsid w:val="00A97995"/>
    <w:rsid w:val="00AA7696"/>
    <w:rsid w:val="00AC2155"/>
    <w:rsid w:val="00AC2FB1"/>
    <w:rsid w:val="00AC672E"/>
    <w:rsid w:val="00AD0F5B"/>
    <w:rsid w:val="00AD599E"/>
    <w:rsid w:val="00AE1816"/>
    <w:rsid w:val="00AE46E8"/>
    <w:rsid w:val="00AE59E1"/>
    <w:rsid w:val="00AF27C9"/>
    <w:rsid w:val="00B0411F"/>
    <w:rsid w:val="00B1289A"/>
    <w:rsid w:val="00B172B5"/>
    <w:rsid w:val="00B20237"/>
    <w:rsid w:val="00B21B5D"/>
    <w:rsid w:val="00B23F37"/>
    <w:rsid w:val="00B24AE4"/>
    <w:rsid w:val="00B32613"/>
    <w:rsid w:val="00B36C17"/>
    <w:rsid w:val="00B414C7"/>
    <w:rsid w:val="00B4278F"/>
    <w:rsid w:val="00B44A51"/>
    <w:rsid w:val="00B45F7B"/>
    <w:rsid w:val="00B54140"/>
    <w:rsid w:val="00B768EB"/>
    <w:rsid w:val="00B775CA"/>
    <w:rsid w:val="00B807CA"/>
    <w:rsid w:val="00B90CAD"/>
    <w:rsid w:val="00B95ED7"/>
    <w:rsid w:val="00BA1A78"/>
    <w:rsid w:val="00BA238D"/>
    <w:rsid w:val="00BB40DD"/>
    <w:rsid w:val="00BB6B1A"/>
    <w:rsid w:val="00BC497B"/>
    <w:rsid w:val="00BC53BE"/>
    <w:rsid w:val="00BE7172"/>
    <w:rsid w:val="00BE78D9"/>
    <w:rsid w:val="00BF1705"/>
    <w:rsid w:val="00BF3A9C"/>
    <w:rsid w:val="00BF4C59"/>
    <w:rsid w:val="00C004E8"/>
    <w:rsid w:val="00C054C1"/>
    <w:rsid w:val="00C074CA"/>
    <w:rsid w:val="00C07960"/>
    <w:rsid w:val="00C13500"/>
    <w:rsid w:val="00C2478A"/>
    <w:rsid w:val="00C25483"/>
    <w:rsid w:val="00C30D7A"/>
    <w:rsid w:val="00C45AA4"/>
    <w:rsid w:val="00C55154"/>
    <w:rsid w:val="00C61F36"/>
    <w:rsid w:val="00C6305C"/>
    <w:rsid w:val="00C64DE9"/>
    <w:rsid w:val="00C767E1"/>
    <w:rsid w:val="00C80291"/>
    <w:rsid w:val="00C82F73"/>
    <w:rsid w:val="00C84360"/>
    <w:rsid w:val="00C87F7C"/>
    <w:rsid w:val="00C91A3C"/>
    <w:rsid w:val="00C96302"/>
    <w:rsid w:val="00C97450"/>
    <w:rsid w:val="00CA4E97"/>
    <w:rsid w:val="00CA595E"/>
    <w:rsid w:val="00CC21C4"/>
    <w:rsid w:val="00CC668E"/>
    <w:rsid w:val="00CE4F74"/>
    <w:rsid w:val="00CE563A"/>
    <w:rsid w:val="00CF03DB"/>
    <w:rsid w:val="00D03D6D"/>
    <w:rsid w:val="00D0782E"/>
    <w:rsid w:val="00D103BE"/>
    <w:rsid w:val="00D1458F"/>
    <w:rsid w:val="00D14645"/>
    <w:rsid w:val="00D16C50"/>
    <w:rsid w:val="00D16C83"/>
    <w:rsid w:val="00D170BD"/>
    <w:rsid w:val="00D22442"/>
    <w:rsid w:val="00D24153"/>
    <w:rsid w:val="00D32B88"/>
    <w:rsid w:val="00D32D82"/>
    <w:rsid w:val="00D3537C"/>
    <w:rsid w:val="00D362C0"/>
    <w:rsid w:val="00D40568"/>
    <w:rsid w:val="00D455F7"/>
    <w:rsid w:val="00D4749B"/>
    <w:rsid w:val="00D51151"/>
    <w:rsid w:val="00D56778"/>
    <w:rsid w:val="00D65921"/>
    <w:rsid w:val="00D66204"/>
    <w:rsid w:val="00D72D50"/>
    <w:rsid w:val="00D73752"/>
    <w:rsid w:val="00D82B76"/>
    <w:rsid w:val="00D92B7F"/>
    <w:rsid w:val="00D95EC2"/>
    <w:rsid w:val="00D95F41"/>
    <w:rsid w:val="00D9747A"/>
    <w:rsid w:val="00DA2CAB"/>
    <w:rsid w:val="00DB1C3E"/>
    <w:rsid w:val="00DB6A82"/>
    <w:rsid w:val="00DC3466"/>
    <w:rsid w:val="00DC68D4"/>
    <w:rsid w:val="00DD05AE"/>
    <w:rsid w:val="00DD2AF3"/>
    <w:rsid w:val="00DF0B77"/>
    <w:rsid w:val="00DF528B"/>
    <w:rsid w:val="00E06E8E"/>
    <w:rsid w:val="00E21D1B"/>
    <w:rsid w:val="00E23022"/>
    <w:rsid w:val="00E32DC7"/>
    <w:rsid w:val="00E41947"/>
    <w:rsid w:val="00E56DC4"/>
    <w:rsid w:val="00E60BB4"/>
    <w:rsid w:val="00E74527"/>
    <w:rsid w:val="00E74E36"/>
    <w:rsid w:val="00E7577F"/>
    <w:rsid w:val="00E85C28"/>
    <w:rsid w:val="00E877DE"/>
    <w:rsid w:val="00E921A6"/>
    <w:rsid w:val="00E9713F"/>
    <w:rsid w:val="00EA3831"/>
    <w:rsid w:val="00EA3A32"/>
    <w:rsid w:val="00EA3E38"/>
    <w:rsid w:val="00EA4281"/>
    <w:rsid w:val="00EA4C8A"/>
    <w:rsid w:val="00EB242E"/>
    <w:rsid w:val="00EB2709"/>
    <w:rsid w:val="00EC40D1"/>
    <w:rsid w:val="00EC61B5"/>
    <w:rsid w:val="00EC7495"/>
    <w:rsid w:val="00ED1571"/>
    <w:rsid w:val="00ED7319"/>
    <w:rsid w:val="00EE78B9"/>
    <w:rsid w:val="00EF1357"/>
    <w:rsid w:val="00EF1B7E"/>
    <w:rsid w:val="00F00558"/>
    <w:rsid w:val="00F010D9"/>
    <w:rsid w:val="00F0443D"/>
    <w:rsid w:val="00F05CA8"/>
    <w:rsid w:val="00F14108"/>
    <w:rsid w:val="00F14FAE"/>
    <w:rsid w:val="00F1594D"/>
    <w:rsid w:val="00F16094"/>
    <w:rsid w:val="00F174E9"/>
    <w:rsid w:val="00F228E3"/>
    <w:rsid w:val="00F27C9B"/>
    <w:rsid w:val="00F344C5"/>
    <w:rsid w:val="00F3606F"/>
    <w:rsid w:val="00F37B09"/>
    <w:rsid w:val="00F51DD9"/>
    <w:rsid w:val="00F5632D"/>
    <w:rsid w:val="00F66663"/>
    <w:rsid w:val="00F707F9"/>
    <w:rsid w:val="00F73DEC"/>
    <w:rsid w:val="00F745B0"/>
    <w:rsid w:val="00F85988"/>
    <w:rsid w:val="00F863D8"/>
    <w:rsid w:val="00F95D8F"/>
    <w:rsid w:val="00F968D4"/>
    <w:rsid w:val="00FA458C"/>
    <w:rsid w:val="00FA61DD"/>
    <w:rsid w:val="00FB3B76"/>
    <w:rsid w:val="00FD08D8"/>
    <w:rsid w:val="00FD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5270F-1CF8-407D-B3E1-8F7AF64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50"/>
  </w:style>
  <w:style w:type="paragraph" w:styleId="Heading1">
    <w:name w:val="heading 1"/>
    <w:basedOn w:val="Normal"/>
    <w:next w:val="Normal"/>
    <w:link w:val="Heading1Char"/>
    <w:qFormat/>
    <w:rsid w:val="00264472"/>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1">
    <w:name w:val="list1"/>
    <w:next w:val="Normal"/>
    <w:uiPriority w:val="99"/>
    <w:rsid w:val="009778EB"/>
    <w:pPr>
      <w:spacing w:after="0" w:line="220" w:lineRule="exact"/>
      <w:ind w:left="360" w:hanging="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778EB"/>
    <w:pPr>
      <w:ind w:left="720"/>
      <w:contextualSpacing/>
    </w:pPr>
  </w:style>
  <w:style w:type="character" w:styleId="Hyperlink">
    <w:name w:val="Hyperlink"/>
    <w:basedOn w:val="DefaultParagraphFont"/>
    <w:rsid w:val="009778EB"/>
    <w:rPr>
      <w:color w:val="0000FF"/>
      <w:u w:val="single"/>
    </w:rPr>
  </w:style>
  <w:style w:type="character" w:styleId="CommentReference">
    <w:name w:val="annotation reference"/>
    <w:basedOn w:val="DefaultParagraphFont"/>
    <w:uiPriority w:val="99"/>
    <w:semiHidden/>
    <w:unhideWhenUsed/>
    <w:rsid w:val="00D9747A"/>
    <w:rPr>
      <w:sz w:val="16"/>
      <w:szCs w:val="16"/>
    </w:rPr>
  </w:style>
  <w:style w:type="paragraph" w:styleId="CommentText">
    <w:name w:val="annotation text"/>
    <w:basedOn w:val="Normal"/>
    <w:link w:val="CommentTextChar"/>
    <w:uiPriority w:val="99"/>
    <w:semiHidden/>
    <w:unhideWhenUsed/>
    <w:rsid w:val="00D9747A"/>
    <w:pPr>
      <w:spacing w:line="240" w:lineRule="auto"/>
    </w:pPr>
    <w:rPr>
      <w:sz w:val="20"/>
      <w:szCs w:val="20"/>
    </w:rPr>
  </w:style>
  <w:style w:type="character" w:customStyle="1" w:styleId="CommentTextChar">
    <w:name w:val="Comment Text Char"/>
    <w:basedOn w:val="DefaultParagraphFont"/>
    <w:link w:val="CommentText"/>
    <w:uiPriority w:val="99"/>
    <w:semiHidden/>
    <w:rsid w:val="00D9747A"/>
    <w:rPr>
      <w:sz w:val="20"/>
      <w:szCs w:val="20"/>
    </w:rPr>
  </w:style>
  <w:style w:type="paragraph" w:styleId="CommentSubject">
    <w:name w:val="annotation subject"/>
    <w:basedOn w:val="CommentText"/>
    <w:next w:val="CommentText"/>
    <w:link w:val="CommentSubjectChar"/>
    <w:uiPriority w:val="99"/>
    <w:semiHidden/>
    <w:unhideWhenUsed/>
    <w:rsid w:val="00D9747A"/>
    <w:rPr>
      <w:b/>
      <w:bCs/>
    </w:rPr>
  </w:style>
  <w:style w:type="character" w:customStyle="1" w:styleId="CommentSubjectChar">
    <w:name w:val="Comment Subject Char"/>
    <w:basedOn w:val="CommentTextChar"/>
    <w:link w:val="CommentSubject"/>
    <w:uiPriority w:val="99"/>
    <w:semiHidden/>
    <w:rsid w:val="00D9747A"/>
    <w:rPr>
      <w:b/>
      <w:bCs/>
      <w:sz w:val="20"/>
      <w:szCs w:val="20"/>
    </w:rPr>
  </w:style>
  <w:style w:type="paragraph" w:styleId="BalloonText">
    <w:name w:val="Balloon Text"/>
    <w:basedOn w:val="Normal"/>
    <w:link w:val="BalloonTextChar"/>
    <w:uiPriority w:val="99"/>
    <w:semiHidden/>
    <w:unhideWhenUsed/>
    <w:rsid w:val="00D9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7A"/>
    <w:rPr>
      <w:rFonts w:ascii="Tahoma" w:hAnsi="Tahoma" w:cs="Tahoma"/>
      <w:sz w:val="16"/>
      <w:szCs w:val="16"/>
    </w:rPr>
  </w:style>
  <w:style w:type="paragraph" w:styleId="Revision">
    <w:name w:val="Revision"/>
    <w:hidden/>
    <w:uiPriority w:val="99"/>
    <w:semiHidden/>
    <w:rsid w:val="00C004E8"/>
    <w:pPr>
      <w:spacing w:after="0" w:line="240" w:lineRule="auto"/>
    </w:pPr>
  </w:style>
  <w:style w:type="character" w:customStyle="1" w:styleId="Heading1Char">
    <w:name w:val="Heading 1 Char"/>
    <w:basedOn w:val="DefaultParagraphFont"/>
    <w:link w:val="Heading1"/>
    <w:rsid w:val="00264472"/>
    <w:rPr>
      <w:rFonts w:ascii="Times New Roman" w:eastAsia="Times New Roman" w:hAnsi="Times New Roman" w:cs="Times New Roman"/>
      <w:b/>
      <w:sz w:val="20"/>
      <w:szCs w:val="20"/>
    </w:rPr>
  </w:style>
  <w:style w:type="paragraph" w:styleId="Footer">
    <w:name w:val="footer"/>
    <w:basedOn w:val="Normal"/>
    <w:link w:val="FooterChar"/>
    <w:unhideWhenUsed/>
    <w:rsid w:val="0006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C3"/>
  </w:style>
  <w:style w:type="paragraph" w:styleId="Header">
    <w:name w:val="header"/>
    <w:basedOn w:val="Normal"/>
    <w:link w:val="HeaderChar"/>
    <w:uiPriority w:val="99"/>
    <w:unhideWhenUsed/>
    <w:rsid w:val="0006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C3"/>
  </w:style>
  <w:style w:type="character" w:styleId="FollowedHyperlink">
    <w:name w:val="FollowedHyperlink"/>
    <w:basedOn w:val="DefaultParagraphFont"/>
    <w:uiPriority w:val="99"/>
    <w:semiHidden/>
    <w:unhideWhenUsed/>
    <w:rsid w:val="005736CF"/>
    <w:rPr>
      <w:color w:val="800080" w:themeColor="followedHyperlink"/>
      <w:u w:val="single"/>
    </w:rPr>
  </w:style>
  <w:style w:type="paragraph" w:customStyle="1" w:styleId="list1para">
    <w:name w:val="list_1para"/>
    <w:basedOn w:val="Normal"/>
    <w:rsid w:val="008C3000"/>
    <w:pPr>
      <w:widowControl w:val="0"/>
      <w:spacing w:before="120" w:after="120" w:line="240" w:lineRule="auto"/>
      <w:ind w:left="540"/>
    </w:pPr>
    <w:rPr>
      <w:rFonts w:ascii="Courier New" w:eastAsia="Times New Roman" w:hAnsi="Courier New" w:cs="Times New Roman"/>
      <w:sz w:val="20"/>
      <w:szCs w:val="20"/>
    </w:rPr>
  </w:style>
  <w:style w:type="paragraph" w:customStyle="1" w:styleId="SectionHead">
    <w:name w:val="Section Head"/>
    <w:basedOn w:val="Normal"/>
    <w:rsid w:val="00C97450"/>
    <w:pPr>
      <w:spacing w:after="240" w:line="360" w:lineRule="exact"/>
      <w:jc w:val="center"/>
    </w:pPr>
    <w:rPr>
      <w:rFonts w:ascii="Arial" w:eastAsia="Times New Roman" w:hAnsi="Arial" w:cs="Times New Roman"/>
      <w:b/>
      <w:caps/>
      <w:sz w:val="28"/>
      <w:szCs w:val="20"/>
    </w:rPr>
  </w:style>
  <w:style w:type="table" w:styleId="TableGrid">
    <w:name w:val="Table Grid"/>
    <w:basedOn w:val="TableNormal"/>
    <w:uiPriority w:val="59"/>
    <w:rsid w:val="001D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4933"/>
  </w:style>
  <w:style w:type="paragraph" w:customStyle="1" w:styleId="list1">
    <w:name w:val="list_1"/>
    <w:basedOn w:val="Normal"/>
    <w:rsid w:val="00004933"/>
    <w:pPr>
      <w:widowControl w:val="0"/>
      <w:numPr>
        <w:numId w:val="3"/>
      </w:numPr>
      <w:spacing w:before="120" w:after="120" w:line="240" w:lineRule="auto"/>
      <w:jc w:val="both"/>
    </w:pPr>
    <w:rPr>
      <w:rFonts w:ascii="Times New Roman" w:eastAsia="Times New Roman" w:hAnsi="Times New Roman" w:cs="Times New Roman"/>
      <w:sz w:val="20"/>
      <w:szCs w:val="20"/>
    </w:rPr>
  </w:style>
  <w:style w:type="paragraph" w:customStyle="1" w:styleId="list10">
    <w:name w:val="list_(1)"/>
    <w:basedOn w:val="Normal"/>
    <w:rsid w:val="00D0782E"/>
    <w:pPr>
      <w:widowControl w:val="0"/>
      <w:numPr>
        <w:numId w:val="5"/>
      </w:numPr>
      <w:spacing w:before="120" w:after="120" w:line="240" w:lineRule="auto"/>
    </w:pPr>
    <w:rPr>
      <w:rFonts w:ascii="Courier New" w:eastAsia="Times New Roman" w:hAnsi="Courier New" w:cs="Times New Roman"/>
      <w:sz w:val="20"/>
      <w:szCs w:val="20"/>
    </w:rPr>
  </w:style>
  <w:style w:type="paragraph" w:customStyle="1" w:styleId="listaitype">
    <w:name w:val="list_(a)_(i)_type"/>
    <w:basedOn w:val="Normal"/>
    <w:rsid w:val="00D0782E"/>
    <w:pPr>
      <w:widowControl w:val="0"/>
      <w:tabs>
        <w:tab w:val="left" w:pos="2160"/>
      </w:tabs>
      <w:spacing w:before="120" w:after="12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semiHidden/>
    <w:rsid w:val="00D0782E"/>
    <w:pPr>
      <w:tabs>
        <w:tab w:val="left" w:pos="1140"/>
        <w:tab w:val="left" w:pos="1800"/>
      </w:tabs>
      <w:spacing w:before="120" w:after="120" w:line="240" w:lineRule="auto"/>
      <w:ind w:left="1800" w:hanging="126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semiHidden/>
    <w:rsid w:val="00D0782E"/>
    <w:rPr>
      <w:rFonts w:ascii="Courier New" w:eastAsia="Times New Roman" w:hAnsi="Courier New" w:cs="Times New Roman"/>
      <w:sz w:val="20"/>
      <w:szCs w:val="20"/>
    </w:rPr>
  </w:style>
  <w:style w:type="paragraph" w:customStyle="1" w:styleId="2x2note">
    <w:name w:val="2x2:note"/>
    <w:rsid w:val="00B1289A"/>
    <w:pPr>
      <w:widowControl w:val="0"/>
      <w:tabs>
        <w:tab w:val="left" w:pos="0"/>
        <w:tab w:val="left" w:pos="720"/>
        <w:tab w:val="left" w:pos="1440"/>
        <w:tab w:val="left" w:pos="2160"/>
      </w:tabs>
      <w:spacing w:before="21" w:after="43" w:line="222"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196704187">
      <w:bodyDiv w:val="1"/>
      <w:marLeft w:val="0"/>
      <w:marRight w:val="0"/>
      <w:marTop w:val="0"/>
      <w:marBottom w:val="0"/>
      <w:divBdr>
        <w:top w:val="none" w:sz="0" w:space="0" w:color="auto"/>
        <w:left w:val="none" w:sz="0" w:space="0" w:color="auto"/>
        <w:bottom w:val="none" w:sz="0" w:space="0" w:color="auto"/>
        <w:right w:val="none" w:sz="0" w:space="0" w:color="auto"/>
      </w:divBdr>
    </w:div>
    <w:div w:id="284777301">
      <w:bodyDiv w:val="1"/>
      <w:marLeft w:val="0"/>
      <w:marRight w:val="0"/>
      <w:marTop w:val="0"/>
      <w:marBottom w:val="0"/>
      <w:divBdr>
        <w:top w:val="none" w:sz="0" w:space="0" w:color="auto"/>
        <w:left w:val="none" w:sz="0" w:space="0" w:color="auto"/>
        <w:bottom w:val="none" w:sz="0" w:space="0" w:color="auto"/>
        <w:right w:val="none" w:sz="0" w:space="0" w:color="auto"/>
      </w:divBdr>
    </w:div>
    <w:div w:id="461071672">
      <w:bodyDiv w:val="1"/>
      <w:marLeft w:val="0"/>
      <w:marRight w:val="0"/>
      <w:marTop w:val="0"/>
      <w:marBottom w:val="0"/>
      <w:divBdr>
        <w:top w:val="none" w:sz="0" w:space="0" w:color="auto"/>
        <w:left w:val="none" w:sz="0" w:space="0" w:color="auto"/>
        <w:bottom w:val="none" w:sz="0" w:space="0" w:color="auto"/>
        <w:right w:val="none" w:sz="0" w:space="0" w:color="auto"/>
      </w:divBdr>
    </w:div>
    <w:div w:id="778648280">
      <w:bodyDiv w:val="1"/>
      <w:marLeft w:val="0"/>
      <w:marRight w:val="0"/>
      <w:marTop w:val="0"/>
      <w:marBottom w:val="0"/>
      <w:divBdr>
        <w:top w:val="none" w:sz="0" w:space="0" w:color="auto"/>
        <w:left w:val="none" w:sz="0" w:space="0" w:color="auto"/>
        <w:bottom w:val="none" w:sz="0" w:space="0" w:color="auto"/>
        <w:right w:val="none" w:sz="0" w:space="0" w:color="auto"/>
      </w:divBdr>
    </w:div>
    <w:div w:id="850682242">
      <w:bodyDiv w:val="1"/>
      <w:marLeft w:val="0"/>
      <w:marRight w:val="0"/>
      <w:marTop w:val="0"/>
      <w:marBottom w:val="0"/>
      <w:divBdr>
        <w:top w:val="none" w:sz="0" w:space="0" w:color="auto"/>
        <w:left w:val="none" w:sz="0" w:space="0" w:color="auto"/>
        <w:bottom w:val="none" w:sz="0" w:space="0" w:color="auto"/>
        <w:right w:val="none" w:sz="0" w:space="0" w:color="auto"/>
      </w:divBdr>
    </w:div>
    <w:div w:id="887229372">
      <w:bodyDiv w:val="1"/>
      <w:marLeft w:val="0"/>
      <w:marRight w:val="0"/>
      <w:marTop w:val="0"/>
      <w:marBottom w:val="0"/>
      <w:divBdr>
        <w:top w:val="none" w:sz="0" w:space="0" w:color="auto"/>
        <w:left w:val="none" w:sz="0" w:space="0" w:color="auto"/>
        <w:bottom w:val="none" w:sz="0" w:space="0" w:color="auto"/>
        <w:right w:val="none" w:sz="0" w:space="0" w:color="auto"/>
      </w:divBdr>
    </w:div>
    <w:div w:id="1163930025">
      <w:bodyDiv w:val="1"/>
      <w:marLeft w:val="0"/>
      <w:marRight w:val="0"/>
      <w:marTop w:val="0"/>
      <w:marBottom w:val="0"/>
      <w:divBdr>
        <w:top w:val="none" w:sz="0" w:space="0" w:color="auto"/>
        <w:left w:val="none" w:sz="0" w:space="0" w:color="auto"/>
        <w:bottom w:val="none" w:sz="0" w:space="0" w:color="auto"/>
        <w:right w:val="none" w:sz="0" w:space="0" w:color="auto"/>
      </w:divBdr>
    </w:div>
    <w:div w:id="1199319726">
      <w:bodyDiv w:val="1"/>
      <w:marLeft w:val="0"/>
      <w:marRight w:val="0"/>
      <w:marTop w:val="0"/>
      <w:marBottom w:val="0"/>
      <w:divBdr>
        <w:top w:val="none" w:sz="0" w:space="0" w:color="auto"/>
        <w:left w:val="none" w:sz="0" w:space="0" w:color="auto"/>
        <w:bottom w:val="none" w:sz="0" w:space="0" w:color="auto"/>
        <w:right w:val="none" w:sz="0" w:space="0" w:color="auto"/>
      </w:divBdr>
    </w:div>
    <w:div w:id="1224752435">
      <w:bodyDiv w:val="1"/>
      <w:marLeft w:val="0"/>
      <w:marRight w:val="0"/>
      <w:marTop w:val="0"/>
      <w:marBottom w:val="0"/>
      <w:divBdr>
        <w:top w:val="none" w:sz="0" w:space="0" w:color="auto"/>
        <w:left w:val="none" w:sz="0" w:space="0" w:color="auto"/>
        <w:bottom w:val="none" w:sz="0" w:space="0" w:color="auto"/>
        <w:right w:val="none" w:sz="0" w:space="0" w:color="auto"/>
      </w:divBdr>
    </w:div>
    <w:div w:id="1647054955">
      <w:bodyDiv w:val="1"/>
      <w:marLeft w:val="0"/>
      <w:marRight w:val="0"/>
      <w:marTop w:val="0"/>
      <w:marBottom w:val="0"/>
      <w:divBdr>
        <w:top w:val="none" w:sz="0" w:space="0" w:color="auto"/>
        <w:left w:val="none" w:sz="0" w:space="0" w:color="auto"/>
        <w:bottom w:val="none" w:sz="0" w:space="0" w:color="auto"/>
        <w:right w:val="none" w:sz="0" w:space="0" w:color="auto"/>
      </w:divBdr>
    </w:div>
    <w:div w:id="1770543889">
      <w:bodyDiv w:val="1"/>
      <w:marLeft w:val="0"/>
      <w:marRight w:val="0"/>
      <w:marTop w:val="0"/>
      <w:marBottom w:val="0"/>
      <w:divBdr>
        <w:top w:val="none" w:sz="0" w:space="0" w:color="auto"/>
        <w:left w:val="none" w:sz="0" w:space="0" w:color="auto"/>
        <w:bottom w:val="none" w:sz="0" w:space="0" w:color="auto"/>
        <w:right w:val="none" w:sz="0" w:space="0" w:color="auto"/>
      </w:divBdr>
    </w:div>
    <w:div w:id="1903517858">
      <w:bodyDiv w:val="1"/>
      <w:marLeft w:val="0"/>
      <w:marRight w:val="0"/>
      <w:marTop w:val="0"/>
      <w:marBottom w:val="0"/>
      <w:divBdr>
        <w:top w:val="none" w:sz="0" w:space="0" w:color="auto"/>
        <w:left w:val="none" w:sz="0" w:space="0" w:color="auto"/>
        <w:bottom w:val="none" w:sz="0" w:space="0" w:color="auto"/>
        <w:right w:val="none" w:sz="0" w:space="0" w:color="auto"/>
      </w:divBdr>
    </w:div>
    <w:div w:id="1988707574">
      <w:bodyDiv w:val="1"/>
      <w:marLeft w:val="0"/>
      <w:marRight w:val="0"/>
      <w:marTop w:val="0"/>
      <w:marBottom w:val="0"/>
      <w:divBdr>
        <w:top w:val="none" w:sz="0" w:space="0" w:color="auto"/>
        <w:left w:val="none" w:sz="0" w:space="0" w:color="auto"/>
        <w:bottom w:val="none" w:sz="0" w:space="0" w:color="auto"/>
        <w:right w:val="none" w:sz="0" w:space="0" w:color="auto"/>
      </w:divBdr>
    </w:div>
    <w:div w:id="20057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9F9D-2E57-416F-9730-A7E70328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6872</Words>
  <Characters>39177</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nam08</dc:creator>
  <cp:keywords/>
  <dc:description/>
  <cp:lastModifiedBy>Toletti, Beatriz  (HII-Ingalls)</cp:lastModifiedBy>
  <cp:revision>2</cp:revision>
  <cp:lastPrinted>2012-10-09T16:44:00Z</cp:lastPrinted>
  <dcterms:created xsi:type="dcterms:W3CDTF">2022-12-07T20:00:00Z</dcterms:created>
  <dcterms:modified xsi:type="dcterms:W3CDTF">2022-12-07T20:00:00Z</dcterms:modified>
</cp:coreProperties>
</file>